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5CF76">
      <w:pPr>
        <w:pStyle w:val="8"/>
        <w:ind w:right="508" w:rightChars="231"/>
        <w:rPr>
          <w:rFonts w:ascii="Times New Roman"/>
          <w:sz w:val="20"/>
          <w:highlight w:val="none"/>
        </w:rPr>
      </w:pPr>
    </w:p>
    <w:p w14:paraId="48C8485B">
      <w:pPr>
        <w:pStyle w:val="15"/>
        <w:spacing w:line="324" w:lineRule="auto"/>
        <w:ind w:left="0" w:leftChars="0" w:right="508" w:rightChars="231" w:firstLine="0" w:firstLineChars="0"/>
        <w:jc w:val="center"/>
        <w:rPr>
          <w:rFonts w:hint="eastAsia" w:ascii="方正小标宋简体" w:hAnsi="方正小标宋简体" w:eastAsia="方正小标宋简体" w:cs="方正小标宋简体"/>
          <w:sz w:val="52"/>
          <w:szCs w:val="52"/>
          <w:highlight w:val="none"/>
          <w:lang w:val="en-US" w:eastAsia="zh-CN"/>
        </w:rPr>
      </w:pPr>
    </w:p>
    <w:p w14:paraId="38CBC2EC">
      <w:pPr>
        <w:pStyle w:val="15"/>
        <w:spacing w:line="324" w:lineRule="auto"/>
        <w:ind w:left="0" w:leftChars="0" w:right="-48" w:rightChars="-22" w:firstLine="0" w:firstLineChars="0"/>
        <w:jc w:val="center"/>
        <w:rPr>
          <w:rFonts w:hint="eastAsia" w:ascii="方正小标宋简体" w:hAnsi="方正小标宋简体" w:eastAsia="方正小标宋简体" w:cs="方正小标宋简体"/>
          <w:sz w:val="48"/>
          <w:szCs w:val="48"/>
          <w:highlight w:val="none"/>
        </w:rPr>
      </w:pPr>
      <w:r>
        <w:rPr>
          <w:rFonts w:hint="eastAsia" w:ascii="方正小标宋简体" w:hAnsi="方正小标宋简体" w:eastAsia="方正小标宋简体" w:cs="方正小标宋简体"/>
          <w:sz w:val="48"/>
          <w:szCs w:val="48"/>
          <w:highlight w:val="none"/>
          <w:lang w:val="en-US" w:eastAsia="zh-CN"/>
        </w:rPr>
        <w:t>一次性使用高压造影注射器及附件、输液接头全省性联盟</w:t>
      </w:r>
      <w:r>
        <w:rPr>
          <w:rFonts w:hint="eastAsia" w:ascii="方正小标宋简体" w:hAnsi="方正小标宋简体" w:eastAsia="方正小标宋简体" w:cs="方正小标宋简体"/>
          <w:sz w:val="48"/>
          <w:szCs w:val="48"/>
          <w:highlight w:val="none"/>
        </w:rPr>
        <w:t>集中带量</w:t>
      </w:r>
      <w:bookmarkStart w:id="0" w:name="_Toc2032235065"/>
    </w:p>
    <w:p w14:paraId="6A2B08CA">
      <w:pPr>
        <w:pStyle w:val="15"/>
        <w:spacing w:line="324" w:lineRule="auto"/>
        <w:ind w:left="0" w:leftChars="0" w:right="-48" w:rightChars="-22" w:firstLine="0" w:firstLineChars="0"/>
        <w:jc w:val="center"/>
        <w:rPr>
          <w:rFonts w:hint="eastAsia" w:ascii="方正小标宋简体" w:hAnsi="方正小标宋简体" w:eastAsia="方正小标宋简体" w:cs="方正小标宋简体"/>
          <w:sz w:val="48"/>
          <w:szCs w:val="48"/>
          <w:highlight w:val="none"/>
        </w:rPr>
      </w:pPr>
      <w:r>
        <w:rPr>
          <w:rFonts w:hint="eastAsia" w:ascii="方正小标宋简体" w:hAnsi="方正小标宋简体" w:eastAsia="方正小标宋简体" w:cs="方正小标宋简体"/>
          <w:sz w:val="48"/>
          <w:szCs w:val="48"/>
          <w:highlight w:val="none"/>
        </w:rPr>
        <w:t>采购文件</w:t>
      </w:r>
      <w:bookmarkEnd w:id="0"/>
    </w:p>
    <w:p w14:paraId="045BBA6F">
      <w:pPr>
        <w:pStyle w:val="15"/>
        <w:spacing w:line="324" w:lineRule="auto"/>
        <w:ind w:left="0" w:leftChars="0" w:right="-48" w:rightChars="-22" w:firstLine="0" w:firstLineChars="0"/>
        <w:jc w:val="center"/>
        <w:rPr>
          <w:rFonts w:hint="eastAsia" w:ascii="方正小标宋简体" w:hAnsi="方正小标宋简体" w:eastAsia="方正小标宋简体" w:cs="方正小标宋简体"/>
          <w:sz w:val="48"/>
          <w:szCs w:val="48"/>
          <w:highlight w:val="none"/>
          <w:lang w:eastAsia="zh-CN"/>
        </w:rPr>
      </w:pPr>
      <w:r>
        <w:rPr>
          <w:rFonts w:hint="eastAsia" w:ascii="方正小标宋简体" w:hAnsi="方正小标宋简体" w:eastAsia="方正小标宋简体" w:cs="方正小标宋简体"/>
          <w:sz w:val="48"/>
          <w:szCs w:val="48"/>
          <w:highlight w:val="none"/>
        </w:rPr>
        <w:t>(征求意见稿）</w:t>
      </w:r>
    </w:p>
    <w:p w14:paraId="2A9A23AA">
      <w:pPr>
        <w:widowControl/>
        <w:autoSpaceDE/>
        <w:autoSpaceDN/>
        <w:spacing w:before="762" w:line="560" w:lineRule="exact"/>
        <w:ind w:right="-48" w:rightChars="-22"/>
        <w:jc w:val="center"/>
        <w:outlineLvl w:val="9"/>
        <w:rPr>
          <w:rFonts w:ascii="楷体"/>
          <w:sz w:val="44"/>
          <w:highlight w:val="none"/>
        </w:rPr>
      </w:pPr>
      <w:bookmarkStart w:id="1" w:name="_Toc47331920"/>
      <w:r>
        <w:rPr>
          <w:rFonts w:hint="eastAsia" w:ascii="仿宋_GB2312" w:hAnsi="仿宋_GB2312" w:eastAsia="仿宋_GB2312" w:cs="仿宋_GB2312"/>
          <w:b w:val="0"/>
          <w:bCs w:val="0"/>
          <w:color w:val="333333"/>
          <w:sz w:val="32"/>
          <w:szCs w:val="32"/>
          <w:highlight w:val="none"/>
          <w:shd w:val="clear" w:color="auto" w:fill="FFFFFF"/>
          <w:lang w:bidi="ar"/>
        </w:rPr>
        <w:t>采购文件编号：</w:t>
      </w:r>
      <w:r>
        <w:rPr>
          <w:rFonts w:hint="default" w:ascii="仿宋_GB2312" w:hAnsi="仿宋_GB2312" w:eastAsia="仿宋_GB2312" w:cs="仿宋_GB2312"/>
          <w:b w:val="0"/>
          <w:bCs w:val="0"/>
          <w:color w:val="333333"/>
          <w:sz w:val="32"/>
          <w:szCs w:val="32"/>
          <w:highlight w:val="none"/>
          <w:shd w:val="clear" w:color="auto" w:fill="FFFFFF"/>
          <w:lang w:val="en-US" w:bidi="ar"/>
        </w:rPr>
        <w:t>LY</w:t>
      </w:r>
      <w:r>
        <w:rPr>
          <w:rFonts w:hint="eastAsia" w:ascii="仿宋_GB2312" w:hAnsi="仿宋_GB2312" w:eastAsia="仿宋_GB2312" w:cs="仿宋_GB2312"/>
          <w:b w:val="0"/>
          <w:bCs w:val="0"/>
          <w:color w:val="333333"/>
          <w:sz w:val="32"/>
          <w:szCs w:val="32"/>
          <w:highlight w:val="none"/>
          <w:shd w:val="clear" w:color="auto" w:fill="FFFFFF"/>
          <w:lang w:val="en-US" w:eastAsia="zh-CN" w:bidi="ar"/>
        </w:rPr>
        <w:t>QSLMCG2025-001</w:t>
      </w:r>
      <w:bookmarkEnd w:id="1"/>
    </w:p>
    <w:p w14:paraId="6904823E">
      <w:pPr>
        <w:pStyle w:val="8"/>
        <w:spacing w:before="12"/>
        <w:ind w:right="508" w:rightChars="231"/>
        <w:rPr>
          <w:rFonts w:ascii="楷体"/>
          <w:sz w:val="44"/>
          <w:highlight w:val="none"/>
        </w:rPr>
      </w:pPr>
    </w:p>
    <w:p w14:paraId="78138B11">
      <w:pPr>
        <w:pStyle w:val="8"/>
        <w:spacing w:before="12"/>
        <w:ind w:right="508" w:rightChars="231"/>
        <w:rPr>
          <w:rFonts w:ascii="楷体"/>
          <w:sz w:val="44"/>
          <w:highlight w:val="none"/>
        </w:rPr>
      </w:pPr>
    </w:p>
    <w:p w14:paraId="42962CB8">
      <w:pPr>
        <w:pStyle w:val="8"/>
        <w:spacing w:before="12"/>
        <w:ind w:right="508" w:rightChars="231"/>
        <w:rPr>
          <w:rFonts w:ascii="楷体"/>
          <w:sz w:val="44"/>
          <w:highlight w:val="none"/>
        </w:rPr>
      </w:pPr>
    </w:p>
    <w:p w14:paraId="076FA8B3">
      <w:pPr>
        <w:pStyle w:val="8"/>
        <w:spacing w:before="12"/>
        <w:ind w:right="508" w:rightChars="231"/>
        <w:rPr>
          <w:rFonts w:ascii="楷体"/>
          <w:sz w:val="44"/>
          <w:highlight w:val="none"/>
        </w:rPr>
      </w:pPr>
    </w:p>
    <w:p w14:paraId="324F4B69">
      <w:pPr>
        <w:pStyle w:val="8"/>
        <w:spacing w:before="12"/>
        <w:ind w:right="508" w:rightChars="231"/>
        <w:rPr>
          <w:rFonts w:ascii="楷体"/>
          <w:sz w:val="44"/>
          <w:highlight w:val="none"/>
        </w:rPr>
      </w:pPr>
    </w:p>
    <w:p w14:paraId="3530C86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600" w:lineRule="atLeast"/>
        <w:ind w:right="-48" w:rightChars="-22"/>
        <w:jc w:val="center"/>
        <w:textAlignment w:val="auto"/>
        <w:outlineLvl w:val="9"/>
        <w:rPr>
          <w:rFonts w:hint="eastAsia" w:ascii="仿宋_GB2312" w:hAnsi="仿宋_GB2312" w:eastAsia="仿宋_GB2312" w:cs="仿宋_GB2312"/>
          <w:b w:val="0"/>
          <w:bCs w:val="0"/>
          <w:i w:val="0"/>
          <w:caps w:val="0"/>
          <w:color w:val="333333"/>
          <w:spacing w:val="0"/>
          <w:w w:val="95"/>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333333"/>
          <w:spacing w:val="0"/>
          <w:w w:val="95"/>
          <w:kern w:val="0"/>
          <w:sz w:val="32"/>
          <w:szCs w:val="32"/>
          <w:highlight w:val="none"/>
          <w:shd w:val="clear" w:color="auto" w:fill="FFFFFF"/>
          <w:lang w:val="en-US" w:eastAsia="zh-CN" w:bidi="ar"/>
        </w:rPr>
        <w:t>一次性使用高压造影注射器及附件、输液接头</w:t>
      </w:r>
    </w:p>
    <w:p w14:paraId="315B416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600" w:lineRule="atLeast"/>
        <w:ind w:right="-48" w:rightChars="-22"/>
        <w:jc w:val="center"/>
        <w:textAlignment w:val="auto"/>
        <w:outlineLvl w:val="9"/>
        <w:rPr>
          <w:rFonts w:hint="eastAsia" w:ascii="仿宋_GB2312" w:hAnsi="仿宋_GB2312" w:eastAsia="仿宋_GB2312" w:cs="仿宋_GB2312"/>
          <w:b w:val="0"/>
          <w:bCs w:val="0"/>
          <w:i w:val="0"/>
          <w:caps w:val="0"/>
          <w:color w:val="333333"/>
          <w:spacing w:val="0"/>
          <w:w w:val="95"/>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333333"/>
          <w:spacing w:val="0"/>
          <w:w w:val="95"/>
          <w:kern w:val="0"/>
          <w:sz w:val="32"/>
          <w:szCs w:val="32"/>
          <w:highlight w:val="none"/>
          <w:shd w:val="clear" w:color="auto" w:fill="FFFFFF"/>
          <w:lang w:val="en-US" w:eastAsia="zh-CN" w:bidi="ar"/>
        </w:rPr>
        <w:t>全省性联盟集采领导小组办公室</w:t>
      </w:r>
    </w:p>
    <w:p w14:paraId="6CFDF082">
      <w:pPr>
        <w:widowControl/>
        <w:spacing w:before="0" w:line="600" w:lineRule="atLeast"/>
        <w:ind w:left="0" w:right="-48" w:rightChars="-22" w:firstLine="0"/>
        <w:jc w:val="center"/>
        <w:rPr>
          <w:rFonts w:hint="eastAsia" w:ascii="仿宋_GB2312" w:hAnsi="仿宋_GB2312" w:eastAsia="仿宋_GB2312" w:cs="仿宋_GB2312"/>
          <w:b w:val="0"/>
          <w:bCs w:val="0"/>
          <w:color w:val="333333"/>
          <w:spacing w:val="0"/>
          <w:sz w:val="32"/>
          <w:szCs w:val="32"/>
          <w:highlight w:val="none"/>
          <w:shd w:val="clear" w:color="auto" w:fill="FFFFFF"/>
          <w:lang w:bidi="ar"/>
        </w:rPr>
      </w:pPr>
      <w:r>
        <w:rPr>
          <w:rFonts w:hint="eastAsia" w:ascii="仿宋_GB2312" w:hAnsi="仿宋_GB2312" w:eastAsia="仿宋_GB2312" w:cs="仿宋_GB2312"/>
          <w:b w:val="0"/>
          <w:bCs w:val="0"/>
          <w:color w:val="333333"/>
          <w:sz w:val="32"/>
          <w:szCs w:val="32"/>
          <w:highlight w:val="none"/>
          <w:shd w:val="clear" w:color="auto" w:fill="FFFFFF"/>
          <w:lang w:bidi="ar"/>
        </w:rPr>
        <w:t>202</w:t>
      </w:r>
      <w:r>
        <w:rPr>
          <w:rFonts w:hint="eastAsia" w:ascii="仿宋_GB2312" w:hAnsi="仿宋_GB2312" w:eastAsia="仿宋_GB2312" w:cs="仿宋_GB2312"/>
          <w:b w:val="0"/>
          <w:bCs w:val="0"/>
          <w:color w:val="333333"/>
          <w:sz w:val="32"/>
          <w:szCs w:val="32"/>
          <w:highlight w:val="none"/>
          <w:shd w:val="clear" w:color="auto" w:fill="FFFFFF"/>
          <w:lang w:val="en-US" w:eastAsia="zh-CN" w:bidi="ar"/>
        </w:rPr>
        <w:t>5</w:t>
      </w:r>
      <w:r>
        <w:rPr>
          <w:rFonts w:hint="eastAsia" w:ascii="仿宋_GB2312" w:hAnsi="仿宋_GB2312" w:eastAsia="仿宋_GB2312" w:cs="仿宋_GB2312"/>
          <w:b w:val="0"/>
          <w:bCs w:val="0"/>
          <w:color w:val="333333"/>
          <w:spacing w:val="0"/>
          <w:sz w:val="32"/>
          <w:szCs w:val="32"/>
          <w:highlight w:val="none"/>
          <w:shd w:val="clear" w:color="auto" w:fill="FFFFFF"/>
          <w:lang w:bidi="ar"/>
        </w:rPr>
        <w:t>年</w:t>
      </w:r>
      <w:r>
        <w:rPr>
          <w:rFonts w:hint="eastAsia" w:ascii="仿宋_GB2312" w:hAnsi="仿宋_GB2312" w:eastAsia="仿宋_GB2312" w:cs="仿宋_GB2312"/>
          <w:b w:val="0"/>
          <w:bCs w:val="0"/>
          <w:color w:val="333333"/>
          <w:spacing w:val="0"/>
          <w:sz w:val="32"/>
          <w:szCs w:val="32"/>
          <w:highlight w:val="none"/>
          <w:shd w:val="clear" w:color="auto" w:fill="FFFFFF"/>
          <w:lang w:val="en-US" w:eastAsia="zh-CN" w:bidi="ar"/>
        </w:rPr>
        <w:t>9</w:t>
      </w:r>
      <w:r>
        <w:rPr>
          <w:rFonts w:hint="eastAsia" w:ascii="仿宋_GB2312" w:hAnsi="仿宋_GB2312" w:eastAsia="仿宋_GB2312" w:cs="仿宋_GB2312"/>
          <w:b w:val="0"/>
          <w:bCs w:val="0"/>
          <w:color w:val="333333"/>
          <w:spacing w:val="0"/>
          <w:sz w:val="32"/>
          <w:szCs w:val="32"/>
          <w:highlight w:val="none"/>
          <w:shd w:val="clear" w:color="auto" w:fill="FFFFFF"/>
          <w:lang w:bidi="ar"/>
        </w:rPr>
        <w:t>月</w:t>
      </w:r>
    </w:p>
    <w:p w14:paraId="244E41F7">
      <w:pPr>
        <w:rPr>
          <w:rFonts w:hint="eastAsia" w:ascii="仿宋_GB2312" w:hAnsi="仿宋_GB2312" w:eastAsia="仿宋_GB2312" w:cs="仿宋_GB2312"/>
          <w:b w:val="0"/>
          <w:bCs w:val="0"/>
          <w:color w:val="333333"/>
          <w:spacing w:val="0"/>
          <w:sz w:val="32"/>
          <w:szCs w:val="32"/>
          <w:highlight w:val="none"/>
          <w:shd w:val="clear" w:color="auto" w:fill="FFFFFF"/>
          <w:lang w:bidi="ar"/>
        </w:rPr>
      </w:pPr>
      <w:r>
        <w:rPr>
          <w:rFonts w:hint="eastAsia" w:ascii="仿宋_GB2312" w:hAnsi="仿宋_GB2312" w:eastAsia="仿宋_GB2312" w:cs="仿宋_GB2312"/>
          <w:b w:val="0"/>
          <w:bCs w:val="0"/>
          <w:color w:val="333333"/>
          <w:spacing w:val="0"/>
          <w:sz w:val="32"/>
          <w:szCs w:val="32"/>
          <w:highlight w:val="none"/>
          <w:shd w:val="clear" w:color="auto" w:fill="FFFFFF"/>
          <w:lang w:bidi="ar"/>
        </w:rPr>
        <w:br w:type="page"/>
      </w:r>
    </w:p>
    <w:p w14:paraId="732B4FA5">
      <w:pPr>
        <w:widowControl/>
        <w:spacing w:before="0" w:line="600" w:lineRule="atLeast"/>
        <w:ind w:left="0" w:right="-48" w:rightChars="-22" w:firstLine="0"/>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目</w:t>
      </w:r>
      <w:r>
        <w:rPr>
          <w:rFonts w:hint="eastAsia" w:ascii="方正小标宋简体" w:hAnsi="方正小标宋简体" w:eastAsia="方正小标宋简体" w:cs="方正小标宋简体"/>
          <w:b w:val="0"/>
          <w:bCs w:val="0"/>
          <w:sz w:val="44"/>
          <w:szCs w:val="44"/>
          <w:highlight w:val="none"/>
          <w:lang w:val="en-US" w:eastAsia="zh-CN"/>
        </w:rPr>
        <w:t xml:space="preserve">   </w:t>
      </w:r>
      <w:r>
        <w:rPr>
          <w:rFonts w:hint="eastAsia" w:ascii="方正小标宋简体" w:hAnsi="方正小标宋简体" w:eastAsia="方正小标宋简体" w:cs="方正小标宋简体"/>
          <w:b w:val="0"/>
          <w:bCs w:val="0"/>
          <w:sz w:val="44"/>
          <w:szCs w:val="44"/>
          <w:highlight w:val="none"/>
        </w:rPr>
        <w:t>录</w:t>
      </w:r>
    </w:p>
    <w:p w14:paraId="719D166F">
      <w:pPr>
        <w:pStyle w:val="12"/>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_Toc20930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lang w:val="en-US" w:eastAsia="zh-CN" w:bidi="ar-SA"/>
        </w:rPr>
        <w:t>第一部分 采购邀请</w:t>
      </w:r>
      <w:r>
        <w:rPr>
          <w:rFonts w:hint="eastAsia" w:ascii="仿宋_GB2312" w:hAnsi="仿宋_GB2312" w:eastAsia="仿宋_GB2312" w:cs="仿宋_GB2312"/>
          <w:b/>
          <w:bCs/>
          <w:sz w:val="32"/>
          <w:szCs w:val="32"/>
          <w:highlight w:val="none"/>
        </w:rPr>
        <w:tab/>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PAGEREF _Toc20930 \h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4</w:t>
      </w:r>
      <w:r>
        <w:rPr>
          <w:rFonts w:hint="eastAsia" w:ascii="仿宋_GB2312" w:hAnsi="仿宋_GB2312" w:eastAsia="仿宋_GB2312" w:cs="仿宋_GB2312"/>
          <w:b/>
          <w:bCs/>
          <w:sz w:val="32"/>
          <w:szCs w:val="32"/>
          <w:highlight w:val="none"/>
        </w:rPr>
        <w:fldChar w:fldCharType="end"/>
      </w:r>
      <w:r>
        <w:rPr>
          <w:rFonts w:hint="eastAsia" w:ascii="仿宋_GB2312" w:hAnsi="仿宋_GB2312" w:eastAsia="仿宋_GB2312" w:cs="仿宋_GB2312"/>
          <w:b/>
          <w:bCs/>
          <w:sz w:val="32"/>
          <w:szCs w:val="32"/>
          <w:highlight w:val="none"/>
        </w:rPr>
        <w:fldChar w:fldCharType="end"/>
      </w:r>
    </w:p>
    <w:p w14:paraId="28D4CED2">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_Toc5909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一、</w:t>
      </w:r>
      <w:r>
        <w:rPr>
          <w:rFonts w:hint="eastAsia" w:ascii="仿宋_GB2312" w:hAnsi="仿宋_GB2312" w:eastAsia="仿宋_GB2312" w:cs="仿宋_GB2312"/>
          <w:bCs w:val="0"/>
          <w:sz w:val="30"/>
          <w:szCs w:val="30"/>
          <w:highlight w:val="none"/>
        </w:rPr>
        <w:t>信息公告获取方式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_Toc5909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4</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6C2C05A1">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_Toc3269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二、采购品种</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_Toc3269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2EE1D93">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_Toc9386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三、采购需求量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_Toc9386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69E7378F">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_Toc21586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四、申报资格</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_Toc21586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40F84E2B">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_Toc30916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（一）资质要求</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_Toc30916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6</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629D8A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_Toc25825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（二）其他要求</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_Toc25825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7</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660448D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_Toc31004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五、采购执行说明</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_Toc31004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8</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2EC541C">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_Toc17379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六、采购周期与采购协议</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_Toc17379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9</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913873E">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_Toc22935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七、申报方式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_Toc22935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9</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4CD44BE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_Toc20757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八、工作流程</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_Toc20757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9</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6EA54010">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_Toc12475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九、联系方式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_Toc12475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10</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522FD50">
      <w:pPr>
        <w:pStyle w:val="13"/>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_Toc12190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第二部分 申报企业须知</w:t>
      </w:r>
      <w:r>
        <w:rPr>
          <w:rFonts w:hint="eastAsia" w:ascii="仿宋_GB2312" w:hAnsi="仿宋_GB2312" w:eastAsia="仿宋_GB2312" w:cs="仿宋_GB2312"/>
          <w:b/>
          <w:bCs/>
          <w:sz w:val="32"/>
          <w:szCs w:val="32"/>
          <w:highlight w:val="none"/>
        </w:rPr>
        <w:tab/>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PAGEREF _Toc12190 \h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12</w:t>
      </w:r>
      <w:r>
        <w:rPr>
          <w:rFonts w:hint="eastAsia" w:ascii="仿宋_GB2312" w:hAnsi="仿宋_GB2312" w:eastAsia="仿宋_GB2312" w:cs="仿宋_GB2312"/>
          <w:b/>
          <w:bCs/>
          <w:sz w:val="32"/>
          <w:szCs w:val="32"/>
          <w:highlight w:val="none"/>
        </w:rPr>
        <w:fldChar w:fldCharType="end"/>
      </w:r>
      <w:r>
        <w:rPr>
          <w:rFonts w:hint="eastAsia" w:ascii="仿宋_GB2312" w:hAnsi="仿宋_GB2312" w:eastAsia="仿宋_GB2312" w:cs="仿宋_GB2312"/>
          <w:b/>
          <w:bCs/>
          <w:sz w:val="32"/>
          <w:szCs w:val="32"/>
          <w:highlight w:val="none"/>
        </w:rPr>
        <w:fldChar w:fldCharType="end"/>
      </w:r>
    </w:p>
    <w:p w14:paraId="2ACAFD0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_Toc18660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一、申报材料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_Toc18660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14B2D91">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_Toc11504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（一）申报企业资质材料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_Toc11504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0A3AFB87">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_Toc23586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（二）申报产品及产品资质</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_Toc23586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46796273">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_Toc15289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（三）项目报名资料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_Toc15289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13</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AF3F22D">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_Toc6107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（四）填报要求</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_Toc6107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13</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1B472FD">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_Toc2930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二、</w:t>
      </w:r>
      <w:r>
        <w:rPr>
          <w:rFonts w:hint="eastAsia" w:ascii="仿宋_GB2312" w:hAnsi="仿宋_GB2312" w:eastAsia="仿宋_GB2312" w:cs="仿宋_GB2312"/>
          <w:bCs w:val="0"/>
          <w:sz w:val="30"/>
          <w:szCs w:val="30"/>
          <w:highlight w:val="none"/>
          <w:lang w:val="en-US" w:eastAsia="zh-CN"/>
        </w:rPr>
        <w:t>申报</w:t>
      </w:r>
      <w:r>
        <w:rPr>
          <w:rFonts w:hint="eastAsia" w:ascii="仿宋_GB2312" w:hAnsi="仿宋_GB2312" w:eastAsia="仿宋_GB2312" w:cs="仿宋_GB2312"/>
          <w:bCs w:val="0"/>
          <w:sz w:val="30"/>
          <w:szCs w:val="30"/>
          <w:highlight w:val="none"/>
          <w:lang w:eastAsia="zh-CN"/>
        </w:rPr>
        <w:t>报价</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_Toc2930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14</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04C21DDF">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_Toc28327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三、中选规则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_Toc28327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14</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9C918F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_Toc18761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（一）报价要求</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_Toc18761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14</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A87D65E">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_Toc12812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（二）拟中选及协议采购量确定规则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_Toc12812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AE6D747">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_Toc15739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val="en-US" w:eastAsia="zh-CN" w:bidi="ar-SA"/>
        </w:rPr>
        <w:t>1.拟中选规则</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_Toc15739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16</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7FD91C9D">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_Toc31479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val="en-US" w:eastAsia="zh-CN" w:bidi="ar-SA"/>
        </w:rPr>
        <w:t>2.拟中选结果公示</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_Toc31479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16</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745A5FE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_Toc20568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val="en-US" w:eastAsia="zh-CN" w:bidi="ar-SA"/>
        </w:rPr>
        <w:t>3.中选结果公布</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_Toc20568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17</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5AF38E3">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_Toc24362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val="en-US" w:eastAsia="zh-CN" w:bidi="ar-SA"/>
        </w:rPr>
        <w:t>4.协议采购量确定</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_Toc24362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17</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55E9182">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_Toc7300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val="en-US" w:eastAsia="zh-CN"/>
        </w:rPr>
        <w:t>四、采购与配送</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_Toc7300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17</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71CCF8E">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_Toc8954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（一）签订带量购销合同</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_Toc8954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17</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8DB32EF">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_Toc8248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（二）医用耗材配送</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_Toc8248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18</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062F5B80">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_Toc21006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1.配套设施</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_Toc21006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18</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2350006">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_Toc28045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sz w:val="30"/>
          <w:szCs w:val="30"/>
          <w:highlight w:val="none"/>
          <w:lang w:val="en-US" w:eastAsia="zh-CN" w:bidi="ar-SA"/>
        </w:rPr>
        <w:t>2.伴随服务</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_Toc28045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18</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37224BCF">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_Toc16125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五、货款结算</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_Toc16125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18</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73CF06AD">
      <w:pPr>
        <w:pStyle w:val="9"/>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_Toc31254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bCs w:val="0"/>
          <w:sz w:val="30"/>
          <w:szCs w:val="30"/>
          <w:highlight w:val="none"/>
          <w:lang w:eastAsia="zh-CN"/>
        </w:rPr>
        <w:t>六、其他</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_Toc31254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19</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7D58163A">
      <w:pPr>
        <w:pStyle w:val="13"/>
        <w:keepNext w:val="0"/>
        <w:keepLines w:val="0"/>
        <w:pageBreakBefore w:val="0"/>
        <w:widowControl w:val="0"/>
        <w:tabs>
          <w:tab w:val="right" w:leader="dot" w:pos="8849"/>
        </w:tabs>
        <w:kinsoku/>
        <w:wordWrap/>
        <w:overflowPunct/>
        <w:topLinePunct w:val="0"/>
        <w:autoSpaceDE w:val="0"/>
        <w:autoSpaceDN w:val="0"/>
        <w:bidi w:val="0"/>
        <w:adjustRightInd/>
        <w:snapToGrid/>
        <w:spacing w:before="0"/>
        <w:ind w:left="0" w:leftChars="0" w:firstLine="0" w:firstLineChars="0"/>
        <w:jc w:val="left"/>
        <w:textAlignment w:val="auto"/>
        <w:rPr>
          <w:b/>
          <w:bCs/>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_Toc10494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第三部分</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b/>
          <w:bCs/>
          <w:sz w:val="32"/>
          <w:szCs w:val="32"/>
          <w:highlight w:val="none"/>
        </w:rPr>
        <w:t>附件</w:t>
      </w:r>
      <w:r>
        <w:rPr>
          <w:rFonts w:hint="eastAsia" w:ascii="仿宋_GB2312" w:hAnsi="仿宋_GB2312" w:eastAsia="仿宋_GB2312" w:cs="仿宋_GB2312"/>
          <w:b/>
          <w:bCs/>
          <w:sz w:val="32"/>
          <w:szCs w:val="32"/>
          <w:highlight w:val="none"/>
        </w:rPr>
        <w:tab/>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PAGEREF _Toc10494 \h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21</w:t>
      </w:r>
      <w:r>
        <w:rPr>
          <w:rFonts w:hint="eastAsia" w:ascii="仿宋_GB2312" w:hAnsi="仿宋_GB2312" w:eastAsia="仿宋_GB2312" w:cs="仿宋_GB2312"/>
          <w:b/>
          <w:bCs/>
          <w:sz w:val="32"/>
          <w:szCs w:val="32"/>
          <w:highlight w:val="none"/>
        </w:rPr>
        <w:fldChar w:fldCharType="end"/>
      </w:r>
      <w:r>
        <w:rPr>
          <w:rFonts w:hint="eastAsia" w:ascii="仿宋_GB2312" w:hAnsi="仿宋_GB2312" w:eastAsia="仿宋_GB2312" w:cs="仿宋_GB2312"/>
          <w:b/>
          <w:bCs/>
          <w:sz w:val="32"/>
          <w:szCs w:val="32"/>
          <w:highlight w:val="none"/>
        </w:rPr>
        <w:fldChar w:fldCharType="end"/>
      </w:r>
    </w:p>
    <w:p w14:paraId="01FA31B4">
      <w:pPr>
        <w:keepNext w:val="0"/>
        <w:keepLines w:val="0"/>
        <w:pageBreakBefore w:val="0"/>
        <w:widowControl w:val="0"/>
        <w:kinsoku/>
        <w:wordWrap/>
        <w:overflowPunct/>
        <w:topLinePunct w:val="0"/>
        <w:autoSpaceDE w:val="0"/>
        <w:autoSpaceDN w:val="0"/>
        <w:bidi w:val="0"/>
        <w:adjustRightInd/>
        <w:snapToGrid/>
        <w:spacing w:before="0"/>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Cs w:val="32"/>
          <w:highlight w:val="none"/>
        </w:rPr>
        <w:fldChar w:fldCharType="end"/>
      </w:r>
    </w:p>
    <w:p w14:paraId="4C35283A">
      <w:pPr>
        <w:rPr>
          <w:rFonts w:hint="eastAsia" w:ascii="仿宋_GB2312" w:hAnsi="仿宋_GB2312" w:eastAsia="仿宋_GB2312" w:cs="仿宋_GB2312"/>
          <w:sz w:val="32"/>
          <w:szCs w:val="32"/>
          <w:highlight w:val="none"/>
        </w:rPr>
      </w:pPr>
    </w:p>
    <w:p w14:paraId="01593FBA">
      <w:pPr>
        <w:rPr>
          <w:rFonts w:hint="eastAsia" w:ascii="仿宋_GB2312" w:hAnsi="仿宋_GB2312" w:eastAsia="仿宋_GB2312" w:cs="仿宋_GB2312"/>
          <w:sz w:val="32"/>
          <w:szCs w:val="32"/>
          <w:highlight w:val="none"/>
          <w:lang w:val="en-US" w:eastAsia="zh-CN" w:bidi="ar-SA"/>
        </w:rPr>
      </w:pPr>
      <w:bookmarkStart w:id="2" w:name="_Toc411880969"/>
      <w:bookmarkStart w:id="3" w:name="_Toc318541765"/>
      <w:bookmarkStart w:id="4" w:name="_Toc1471165196"/>
      <w:r>
        <w:rPr>
          <w:rFonts w:hint="eastAsia" w:ascii="仿宋_GB2312" w:hAnsi="仿宋_GB2312" w:eastAsia="仿宋_GB2312" w:cs="仿宋_GB2312"/>
          <w:sz w:val="32"/>
          <w:szCs w:val="32"/>
          <w:highlight w:val="none"/>
          <w:lang w:val="en-US" w:eastAsia="zh-CN" w:bidi="ar-SA"/>
        </w:rPr>
        <w:br w:type="page"/>
      </w:r>
    </w:p>
    <w:p w14:paraId="55166DEB">
      <w:pPr>
        <w:pStyle w:val="13"/>
        <w:keepNext w:val="0"/>
        <w:keepLines w:val="0"/>
        <w:pageBreakBefore w:val="0"/>
        <w:widowControl w:val="0"/>
        <w:tabs>
          <w:tab w:val="right" w:leader="dot" w:pos="8905"/>
        </w:tabs>
        <w:kinsoku/>
        <w:wordWrap/>
        <w:overflowPunct/>
        <w:topLinePunct w:val="0"/>
        <w:autoSpaceDE w:val="0"/>
        <w:autoSpaceDN w:val="0"/>
        <w:bidi w:val="0"/>
        <w:adjustRightInd/>
        <w:snapToGrid/>
        <w:spacing w:before="0"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highlight w:val="none"/>
          <w:lang w:val="en-US" w:eastAsia="zh-CN" w:bidi="ar-SA"/>
        </w:rPr>
      </w:pPr>
      <w:bookmarkStart w:id="5" w:name="_Toc375725091"/>
      <w:bookmarkStart w:id="6" w:name="_Toc681541396"/>
      <w:bookmarkStart w:id="7" w:name="_Toc20930"/>
      <w:r>
        <w:rPr>
          <w:rFonts w:hint="eastAsia" w:ascii="方正小标宋简体" w:hAnsi="方正小标宋简体" w:eastAsia="方正小标宋简体" w:cs="方正小标宋简体"/>
          <w:sz w:val="44"/>
          <w:szCs w:val="44"/>
          <w:highlight w:val="none"/>
          <w:lang w:val="en-US" w:eastAsia="zh-CN" w:bidi="ar-SA"/>
        </w:rPr>
        <w:t>第一部分 采购邀请</w:t>
      </w:r>
      <w:bookmarkEnd w:id="2"/>
      <w:bookmarkEnd w:id="3"/>
      <w:bookmarkEnd w:id="4"/>
      <w:bookmarkEnd w:id="5"/>
      <w:bookmarkEnd w:id="6"/>
      <w:bookmarkEnd w:id="7"/>
    </w:p>
    <w:p w14:paraId="103EC8E9">
      <w:pPr>
        <w:keepNext w:val="0"/>
        <w:keepLines w:val="0"/>
        <w:pageBreakBefore w:val="0"/>
        <w:widowControl w:val="0"/>
        <w:kinsoku/>
        <w:wordWrap/>
        <w:overflowPunct/>
        <w:topLinePunct w:val="0"/>
        <w:autoSpaceDE/>
        <w:autoSpaceDN/>
        <w:bidi w:val="0"/>
        <w:adjustRightInd/>
        <w:snapToGrid/>
        <w:spacing w:before="0" w:after="0" w:line="560" w:lineRule="exact"/>
        <w:ind w:left="0" w:right="0" w:rightChars="0" w:firstLine="0" w:firstLineChars="0"/>
        <w:jc w:val="center"/>
        <w:textAlignment w:val="auto"/>
        <w:rPr>
          <w:rFonts w:hint="eastAsia" w:ascii="黑体" w:hAnsi="黑体" w:eastAsia="黑体" w:cs="黑体"/>
          <w:color w:val="000000"/>
          <w:spacing w:val="-6"/>
          <w:kern w:val="0"/>
          <w:sz w:val="32"/>
          <w:szCs w:val="32"/>
          <w:highlight w:val="none"/>
          <w:lang w:val="en-US" w:eastAsia="zh-CN" w:bidi="ar"/>
        </w:rPr>
      </w:pPr>
      <w:bookmarkStart w:id="8" w:name="_TOC_250002"/>
      <w:bookmarkEnd w:id="8"/>
      <w:bookmarkStart w:id="9" w:name="_Toc835204565"/>
      <w:bookmarkStart w:id="10" w:name="_Toc1332082820"/>
      <w:r>
        <w:rPr>
          <w:rFonts w:hint="eastAsia" w:ascii="黑体" w:hAnsi="黑体" w:eastAsia="黑体" w:cs="黑体"/>
          <w:color w:val="000000"/>
          <w:spacing w:val="-6"/>
          <w:kern w:val="0"/>
          <w:sz w:val="32"/>
          <w:szCs w:val="32"/>
          <w:highlight w:val="none"/>
          <w:lang w:val="en-US" w:eastAsia="zh-CN" w:bidi="ar"/>
        </w:rPr>
        <w:t>一次性使用高压造影注射器及附件、输液接头邀请函</w:t>
      </w:r>
      <w:bookmarkEnd w:id="9"/>
      <w:bookmarkEnd w:id="10"/>
    </w:p>
    <w:p w14:paraId="39D5D7BF">
      <w:pPr>
        <w:pStyle w:val="8"/>
        <w:keepNext w:val="0"/>
        <w:keepLines w:val="0"/>
        <w:pageBreakBefore w:val="0"/>
        <w:widowControl w:val="0"/>
        <w:kinsoku/>
        <w:wordWrap/>
        <w:overflowPunct/>
        <w:topLinePunct w:val="0"/>
        <w:bidi w:val="0"/>
        <w:adjustRightInd w:val="0"/>
        <w:snapToGrid/>
        <w:spacing w:before="0" w:line="560" w:lineRule="exact"/>
        <w:ind w:left="0" w:right="0" w:rightChars="0" w:firstLine="0" w:firstLineChars="0"/>
        <w:jc w:val="center"/>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（编号：</w:t>
      </w:r>
      <w:r>
        <w:rPr>
          <w:rFonts w:hint="default" w:ascii="仿宋_GB2312" w:hAnsi="仿宋_GB2312" w:eastAsia="仿宋_GB2312" w:cs="仿宋_GB2312"/>
          <w:highlight w:val="none"/>
          <w:lang w:val="en-US"/>
        </w:rPr>
        <w:t>LY</w:t>
      </w:r>
      <w:r>
        <w:rPr>
          <w:rFonts w:hint="eastAsia" w:ascii="仿宋_GB2312" w:hAnsi="仿宋_GB2312" w:eastAsia="仿宋_GB2312" w:cs="仿宋_GB2312"/>
          <w:highlight w:val="none"/>
        </w:rPr>
        <w:t>QS</w:t>
      </w:r>
      <w:r>
        <w:rPr>
          <w:rFonts w:hint="eastAsia" w:ascii="仿宋_GB2312" w:hAnsi="仿宋_GB2312" w:eastAsia="仿宋_GB2312" w:cs="仿宋_GB2312"/>
          <w:highlight w:val="none"/>
          <w:lang w:val="en-US" w:eastAsia="zh-CN"/>
        </w:rPr>
        <w:t>LMCG2025-001</w:t>
      </w:r>
      <w:r>
        <w:rPr>
          <w:rFonts w:hint="eastAsia" w:ascii="仿宋_GB2312" w:hAnsi="仿宋_GB2312" w:eastAsia="仿宋_GB2312" w:cs="仿宋_GB2312"/>
          <w:highlight w:val="none"/>
        </w:rPr>
        <w:t>）</w:t>
      </w:r>
    </w:p>
    <w:p w14:paraId="1A41903F">
      <w:pPr>
        <w:pStyle w:val="8"/>
        <w:keepNext w:val="0"/>
        <w:keepLines w:val="0"/>
        <w:pageBreakBefore w:val="0"/>
        <w:widowControl w:val="0"/>
        <w:kinsoku/>
        <w:wordWrap/>
        <w:overflowPunct/>
        <w:topLinePunct w:val="0"/>
        <w:bidi w:val="0"/>
        <w:adjustRightInd w:val="0"/>
        <w:snapToGrid/>
        <w:spacing w:before="0" w:line="560" w:lineRule="exact"/>
        <w:ind w:left="0" w:right="0" w:rightChars="0" w:firstLine="0" w:firstLineChars="0"/>
        <w:jc w:val="center"/>
        <w:textAlignment w:val="auto"/>
        <w:rPr>
          <w:rFonts w:hint="eastAsia" w:ascii="仿宋_GB2312" w:hAnsi="仿宋_GB2312" w:eastAsia="仿宋_GB2312" w:cs="仿宋_GB2312"/>
          <w:highlight w:val="none"/>
          <w:lang w:val="en-US" w:eastAsia="zh-CN"/>
        </w:rPr>
      </w:pPr>
    </w:p>
    <w:p w14:paraId="08D682A5">
      <w:pPr>
        <w:pStyle w:val="8"/>
        <w:keepNext w:val="0"/>
        <w:keepLines w:val="0"/>
        <w:pageBreakBefore w:val="0"/>
        <w:widowControl w:val="0"/>
        <w:kinsoku/>
        <w:wordWrap/>
        <w:overflowPunct/>
        <w:topLinePunct w:val="0"/>
        <w:autoSpaceDE w:val="0"/>
        <w:autoSpaceDN w:val="0"/>
        <w:bidi w:val="0"/>
        <w:adjustRightInd/>
        <w:snapToGrid/>
        <w:spacing w:before="0" w:line="560" w:lineRule="exact"/>
        <w:ind w:right="0" w:rightChars="0"/>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各相关企业：</w:t>
      </w:r>
    </w:p>
    <w:p w14:paraId="0A7817DD">
      <w:pPr>
        <w:pStyle w:val="14"/>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rightChars="0" w:firstLine="640" w:firstLineChars="200"/>
        <w:jc w:val="both"/>
        <w:textAlignment w:val="auto"/>
        <w:rPr>
          <w:rFonts w:ascii="等线" w:hAnsi="等线" w:eastAsia="等线" w:cs="等线"/>
          <w:sz w:val="32"/>
          <w:szCs w:val="32"/>
          <w:highlight w:val="none"/>
        </w:rPr>
      </w:pPr>
      <w:bookmarkStart w:id="11" w:name="一、信息公告获取方式"/>
      <w:bookmarkEnd w:id="11"/>
      <w:bookmarkStart w:id="12" w:name="_Toc1837768310"/>
      <w:bookmarkStart w:id="13" w:name="_Toc2138794942"/>
      <w:bookmarkStart w:id="14" w:name="_Toc1209682257"/>
      <w:bookmarkStart w:id="15" w:name="_Toc393270333"/>
      <w:r>
        <w:rPr>
          <w:rFonts w:ascii="仿宋_GB2312" w:hAnsi="等线" w:eastAsia="仿宋_GB2312" w:cs="仿宋_GB2312"/>
          <w:b w:val="0"/>
          <w:bCs w:val="0"/>
          <w:i w:val="0"/>
          <w:iCs w:val="0"/>
          <w:caps w:val="0"/>
          <w:color w:val="000000"/>
          <w:spacing w:val="0"/>
          <w:sz w:val="32"/>
          <w:szCs w:val="32"/>
          <w:highlight w:val="none"/>
          <w:vertAlign w:val="baseline"/>
        </w:rPr>
        <w:t>为认真贯彻落实</w:t>
      </w:r>
      <w:r>
        <w:rPr>
          <w:rFonts w:hint="eastAsia" w:ascii="仿宋_GB2312" w:hAnsi="等线" w:eastAsia="仿宋_GB2312" w:cs="仿宋_GB2312"/>
          <w:b w:val="0"/>
          <w:bCs w:val="0"/>
          <w:i w:val="0"/>
          <w:iCs w:val="0"/>
          <w:caps w:val="0"/>
          <w:color w:val="000000"/>
          <w:spacing w:val="0"/>
          <w:sz w:val="32"/>
          <w:szCs w:val="32"/>
          <w:highlight w:val="none"/>
          <w:vertAlign w:val="baseline"/>
        </w:rPr>
        <w:t>《福建省医疗保障局关于印发2025年全省医疗保障工作要点的通知》（闽医保〔2025〕9号）文件精神，切实</w:t>
      </w:r>
      <w:r>
        <w:rPr>
          <w:rFonts w:hint="eastAsia" w:ascii="仿宋_GB2312" w:hAnsi="等线" w:eastAsia="仿宋_GB2312" w:cs="仿宋_GB2312"/>
          <w:b w:val="0"/>
          <w:bCs w:val="0"/>
          <w:i w:val="0"/>
          <w:iCs w:val="0"/>
          <w:caps w:val="0"/>
          <w:color w:val="000000"/>
          <w:spacing w:val="-2"/>
          <w:sz w:val="32"/>
          <w:szCs w:val="32"/>
          <w:highlight w:val="none"/>
          <w:vertAlign w:val="baseline"/>
        </w:rPr>
        <w:t>保障临床需求，降低医用耗材采购价格，规范医疗服务行为，维护人民群众健康权益，</w:t>
      </w:r>
      <w:r>
        <w:rPr>
          <w:rFonts w:hint="eastAsia" w:ascii="仿宋_GB2312" w:hAnsi="等线" w:eastAsia="仿宋_GB2312" w:cs="仿宋_GB2312"/>
          <w:b w:val="0"/>
          <w:bCs w:val="0"/>
          <w:i w:val="0"/>
          <w:iCs w:val="0"/>
          <w:caps w:val="0"/>
          <w:color w:val="000000"/>
          <w:spacing w:val="0"/>
          <w:sz w:val="32"/>
          <w:szCs w:val="32"/>
          <w:highlight w:val="none"/>
          <w:vertAlign w:val="baseline"/>
        </w:rPr>
        <w:t>全省相关地市组成采购联盟，代表各地区公立医疗机构（含军队医疗机构）及自愿参加的医保定点社会办医疗机构等，开展</w:t>
      </w:r>
      <w:r>
        <w:rPr>
          <w:rFonts w:hint="eastAsia" w:ascii="仿宋_GB2312" w:hAnsi="等线" w:eastAsia="仿宋_GB2312" w:cs="仿宋_GB2312"/>
          <w:b w:val="0"/>
          <w:bCs w:val="0"/>
          <w:i w:val="0"/>
          <w:iCs w:val="0"/>
          <w:caps w:val="0"/>
          <w:color w:val="000000"/>
          <w:spacing w:val="0"/>
          <w:sz w:val="32"/>
          <w:szCs w:val="32"/>
          <w:highlight w:val="none"/>
          <w:vertAlign w:val="baseline"/>
          <w:lang w:eastAsia="zh-CN"/>
        </w:rPr>
        <w:t>一次性使用高压造影注射器及附件、输液接头</w:t>
      </w:r>
      <w:r>
        <w:rPr>
          <w:rFonts w:hint="eastAsia" w:ascii="仿宋_GB2312" w:hAnsi="等线" w:eastAsia="仿宋_GB2312" w:cs="仿宋_GB2312"/>
          <w:b w:val="0"/>
          <w:bCs w:val="0"/>
          <w:i w:val="0"/>
          <w:iCs w:val="0"/>
          <w:caps w:val="0"/>
          <w:color w:val="000000"/>
          <w:spacing w:val="0"/>
          <w:sz w:val="32"/>
          <w:szCs w:val="32"/>
          <w:highlight w:val="none"/>
          <w:vertAlign w:val="baseline"/>
        </w:rPr>
        <w:t>全省性联盟集中带量采购（具体参与情况详见附件1），现邀请符合条件的企业积极申报。</w:t>
      </w:r>
    </w:p>
    <w:p w14:paraId="43BC4DD4">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rPr>
      </w:pPr>
      <w:bookmarkStart w:id="16" w:name="_Toc2135953121"/>
      <w:bookmarkStart w:id="17" w:name="_Toc5909"/>
      <w:r>
        <w:rPr>
          <w:rFonts w:hint="eastAsia" w:ascii="黑体" w:hAnsi="黑体" w:eastAsia="黑体" w:cs="黑体"/>
          <w:b w:val="0"/>
          <w:bCs w:val="0"/>
          <w:highlight w:val="none"/>
          <w:lang w:eastAsia="zh-CN"/>
        </w:rPr>
        <w:t>一、</w:t>
      </w:r>
      <w:r>
        <w:rPr>
          <w:rFonts w:hint="eastAsia" w:ascii="黑体" w:hAnsi="黑体" w:eastAsia="黑体" w:cs="黑体"/>
          <w:b w:val="0"/>
          <w:bCs w:val="0"/>
          <w:highlight w:val="none"/>
        </w:rPr>
        <w:t>信息公告获取方式</w:t>
      </w:r>
      <w:bookmarkEnd w:id="12"/>
      <w:bookmarkEnd w:id="13"/>
      <w:bookmarkEnd w:id="14"/>
      <w:bookmarkEnd w:id="15"/>
      <w:bookmarkEnd w:id="16"/>
      <w:bookmarkEnd w:id="17"/>
    </w:p>
    <w:p w14:paraId="22350A84">
      <w:pPr>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一次性使用高压造影注射器及附件、输液接头全省性联盟集中带量采购工作（以下简称“联盟采购工作”）由一次性使用高压造影注射器及附件、输液接头全省性联盟集采领导小组办公室（以下简称“集采办”）开展，集采办设在龙岩市医疗保障局，日常工作和具体实施由龙岩市医疗保障局承担。</w:t>
      </w:r>
    </w:p>
    <w:p w14:paraId="0B4F33CC">
      <w:pPr>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联盟采购工作所有公告、信息通过龙岩市医疗保障局官方网站（网址：https://ylbz.longyan.gov.cn/）“公告公示”模块及全省性联盟集中带量采购网址（网址：https://lyzc.eliancloud.cn/tps-local/#/login</w:t>
      </w:r>
      <w:r>
        <w:rPr>
          <w:rFonts w:hint="eastAsia" w:ascii="仿宋_GB2312" w:hAnsi="仿宋_GB2312" w:eastAsia="仿宋_GB2312" w:cs="仿宋_GB2312"/>
          <w:color w:val="auto"/>
          <w:spacing w:val="-1"/>
          <w:sz w:val="32"/>
          <w:szCs w:val="32"/>
          <w:highlight w:val="none"/>
          <w:lang w:val="en-US" w:eastAsia="zh-CN" w:bidi="ar-SA"/>
        </w:rPr>
        <w:t>）</w:t>
      </w:r>
      <w:r>
        <w:rPr>
          <w:rFonts w:hint="eastAsia" w:ascii="仿宋_GB2312" w:hAnsi="仿宋_GB2312" w:eastAsia="仿宋_GB2312" w:cs="仿宋_GB2312"/>
          <w:spacing w:val="-1"/>
          <w:sz w:val="32"/>
          <w:szCs w:val="32"/>
          <w:highlight w:val="none"/>
          <w:lang w:val="en-US" w:eastAsia="zh-CN" w:bidi="ar-SA"/>
        </w:rPr>
        <w:t>（以下简称“联盟集采网址”）</w:t>
      </w:r>
      <w:r>
        <w:rPr>
          <w:rFonts w:hint="eastAsia" w:ascii="仿宋_GB2312" w:hAnsi="仿宋_GB2312" w:eastAsia="仿宋_GB2312" w:cs="仿宋_GB2312"/>
          <w:color w:val="auto"/>
          <w:spacing w:val="-1"/>
          <w:sz w:val="32"/>
          <w:szCs w:val="32"/>
          <w:highlight w:val="none"/>
          <w:lang w:val="en-US" w:eastAsia="zh-CN" w:bidi="ar-SA"/>
        </w:rPr>
        <w:t>发布。</w:t>
      </w:r>
    </w:p>
    <w:p w14:paraId="1BB2A22A">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8" w:name="二、采购品种及竞价单元"/>
      <w:bookmarkEnd w:id="18"/>
      <w:bookmarkStart w:id="19" w:name="_Toc100792151"/>
      <w:bookmarkStart w:id="20" w:name="_Toc3269"/>
      <w:bookmarkStart w:id="21" w:name="_Toc1627461395"/>
      <w:bookmarkStart w:id="22" w:name="_Toc902007250"/>
      <w:bookmarkStart w:id="23" w:name="_Toc45767915"/>
      <w:bookmarkStart w:id="24" w:name="_Toc1106248352"/>
      <w:r>
        <w:rPr>
          <w:rFonts w:hint="eastAsia" w:ascii="黑体" w:hAnsi="黑体" w:eastAsia="黑体" w:cs="黑体"/>
          <w:b w:val="0"/>
          <w:bCs w:val="0"/>
          <w:highlight w:val="none"/>
          <w:lang w:eastAsia="zh-CN"/>
        </w:rPr>
        <w:t>二、采购品种</w:t>
      </w:r>
      <w:bookmarkEnd w:id="19"/>
      <w:bookmarkEnd w:id="20"/>
      <w:bookmarkEnd w:id="21"/>
      <w:bookmarkEnd w:id="22"/>
      <w:bookmarkEnd w:id="23"/>
      <w:bookmarkEnd w:id="24"/>
    </w:p>
    <w:p w14:paraId="548BC1D5">
      <w:pPr>
        <w:keepNext w:val="0"/>
        <w:keepLines w:val="0"/>
        <w:widowControl/>
        <w:suppressLineNumbers w:val="0"/>
        <w:suppressAutoHyphens/>
        <w:autoSpaceDE w:val="0"/>
        <w:autoSpaceDN/>
        <w:spacing w:before="0" w:beforeAutospacing="0" w:after="0" w:afterAutospacing="0" w:line="560" w:lineRule="exact"/>
        <w:ind w:left="0" w:right="0" w:firstLine="640" w:firstLineChars="200"/>
        <w:jc w:val="left"/>
        <w:rPr>
          <w:rFonts w:hint="eastAsia" w:ascii="仿宋_GB2312" w:hAnsi="Calibri" w:eastAsia="仿宋_GB2312" w:cs="仿宋_GB2312"/>
          <w:b w:val="0"/>
          <w:i w:val="0"/>
          <w:caps w:val="0"/>
          <w:color w:val="333333"/>
          <w:spacing w:val="0"/>
          <w:kern w:val="0"/>
          <w:sz w:val="32"/>
          <w:szCs w:val="32"/>
          <w:highlight w:val="none"/>
          <w:shd w:val="clear" w:color="auto" w:fill="FFFFFF"/>
          <w:lang w:val="en-US" w:eastAsia="zh-CN" w:bidi="ar"/>
        </w:rPr>
      </w:pPr>
      <w:r>
        <w:rPr>
          <w:rFonts w:hint="eastAsia" w:ascii="仿宋_GB2312" w:hAnsi="Calibri" w:eastAsia="仿宋_GB2312" w:cs="仿宋_GB2312"/>
          <w:b w:val="0"/>
          <w:i w:val="0"/>
          <w:caps w:val="0"/>
          <w:color w:val="333333"/>
          <w:spacing w:val="0"/>
          <w:kern w:val="0"/>
          <w:sz w:val="32"/>
          <w:szCs w:val="32"/>
          <w:highlight w:val="none"/>
          <w:shd w:val="clear" w:color="auto" w:fill="FFFFFF"/>
          <w:lang w:val="en-US" w:eastAsia="zh-CN" w:bidi="ar"/>
        </w:rPr>
        <w:t>一次性使用高压造影注射器及附件（医保医用耗材编码前15位包含但不限于C02071507500000、C02072205400000）；</w:t>
      </w:r>
    </w:p>
    <w:p w14:paraId="78A50C92">
      <w:pPr>
        <w:keepNext w:val="0"/>
        <w:keepLines w:val="0"/>
        <w:widowControl/>
        <w:suppressLineNumbers w:val="0"/>
        <w:suppressAutoHyphens/>
        <w:autoSpaceDE w:val="0"/>
        <w:autoSpaceDN/>
        <w:spacing w:before="0" w:beforeAutospacing="0" w:after="0" w:afterAutospacing="0" w:line="560" w:lineRule="exact"/>
        <w:ind w:left="0" w:right="0" w:firstLine="640" w:firstLineChars="200"/>
        <w:jc w:val="left"/>
        <w:rPr>
          <w:rFonts w:hint="eastAsia" w:ascii="仿宋_GB2312" w:eastAsia="仿宋_GB2312" w:cs="仿宋_GB2312"/>
          <w:b w:val="0"/>
          <w:i w:val="0"/>
          <w:caps w:val="0"/>
          <w:color w:val="333333"/>
          <w:spacing w:val="0"/>
          <w:kern w:val="0"/>
          <w:sz w:val="32"/>
          <w:szCs w:val="32"/>
          <w:highlight w:val="none"/>
          <w:shd w:val="clear" w:color="auto" w:fill="FFFFFF"/>
        </w:rPr>
      </w:pPr>
      <w:r>
        <w:rPr>
          <w:rFonts w:hint="eastAsia" w:ascii="仿宋_GB2312" w:hAnsi="Calibri" w:eastAsia="仿宋_GB2312" w:cs="仿宋_GB2312"/>
          <w:b w:val="0"/>
          <w:i w:val="0"/>
          <w:caps w:val="0"/>
          <w:color w:val="333333"/>
          <w:spacing w:val="0"/>
          <w:kern w:val="0"/>
          <w:sz w:val="32"/>
          <w:szCs w:val="32"/>
          <w:highlight w:val="none"/>
          <w:shd w:val="clear" w:color="auto" w:fill="FFFFFF"/>
          <w:lang w:val="en-US" w:eastAsia="zh-CN" w:bidi="ar"/>
        </w:rPr>
        <w:t>输液接头（医保医用耗材编码前14位包含但不限于C1423112070000）。</w:t>
      </w:r>
    </w:p>
    <w:p w14:paraId="0123973A">
      <w:pPr>
        <w:pStyle w:val="21"/>
        <w:rPr>
          <w:rFonts w:hint="eastAsia" w:cs="方正仿宋简体"/>
          <w:spacing w:val="0"/>
          <w:sz w:val="24"/>
          <w:szCs w:val="24"/>
          <w:highlight w:val="none"/>
          <w:lang w:val="en-US" w:eastAsia="zh-CN" w:bidi="ar-SA"/>
        </w:rPr>
      </w:pPr>
    </w:p>
    <w:tbl>
      <w:tblPr>
        <w:tblStyle w:val="16"/>
        <w:tblW w:w="90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7"/>
        <w:gridCol w:w="1101"/>
        <w:gridCol w:w="4747"/>
        <w:gridCol w:w="977"/>
        <w:gridCol w:w="813"/>
      </w:tblGrid>
      <w:tr w14:paraId="026E0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81A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品种</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906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分类</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C33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产品要求</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5C7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最小竞价单元</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FF6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采购需求量</w:t>
            </w:r>
          </w:p>
        </w:tc>
      </w:tr>
      <w:tr w14:paraId="502A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4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CAE5F">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一次性使用高压造影注射器及附件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FC3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单筒</w:t>
            </w:r>
          </w:p>
        </w:tc>
        <w:tc>
          <w:tcPr>
            <w:tcW w:w="4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EA52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不包含系统管路产品，不包含专机专用一次性使用高压造影注射器及附件；满足临床需求，需兼容医疗机构现有仪器，申报产品附件须包含连接管和吸药器</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AB37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套</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9C8F">
            <w:pPr>
              <w:rPr>
                <w:rFonts w:hint="eastAsia" w:ascii="仿宋_GB2312" w:hAnsi="仿宋_GB2312" w:eastAsia="仿宋_GB2312" w:cs="仿宋_GB2312"/>
                <w:i w:val="0"/>
                <w:iCs w:val="0"/>
                <w:color w:val="000000"/>
                <w:sz w:val="32"/>
                <w:szCs w:val="32"/>
                <w:highlight w:val="none"/>
                <w:u w:val="none"/>
              </w:rPr>
            </w:pPr>
          </w:p>
        </w:tc>
      </w:tr>
      <w:tr w14:paraId="00D0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245A6">
            <w:pPr>
              <w:jc w:val="center"/>
              <w:rPr>
                <w:rFonts w:hint="eastAsia" w:ascii="仿宋_GB2312" w:hAnsi="仿宋_GB2312" w:eastAsia="仿宋_GB2312" w:cs="仿宋_GB2312"/>
                <w:i w:val="0"/>
                <w:iCs w:val="0"/>
                <w:color w:val="000000"/>
                <w:sz w:val="32"/>
                <w:szCs w:val="32"/>
                <w:highlight w:val="none"/>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890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双筒</w:t>
            </w:r>
          </w:p>
        </w:tc>
        <w:tc>
          <w:tcPr>
            <w:tcW w:w="4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DC831">
            <w:pPr>
              <w:jc w:val="left"/>
              <w:rPr>
                <w:rFonts w:hint="eastAsia" w:ascii="仿宋_GB2312" w:hAnsi="仿宋_GB2312" w:eastAsia="仿宋_GB2312" w:cs="仿宋_GB2312"/>
                <w:i w:val="0"/>
                <w:iCs w:val="0"/>
                <w:color w:val="000000"/>
                <w:sz w:val="32"/>
                <w:szCs w:val="32"/>
                <w:highlight w:val="none"/>
                <w:u w:val="none"/>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07C1D">
            <w:pPr>
              <w:jc w:val="center"/>
              <w:rPr>
                <w:rFonts w:hint="eastAsia" w:ascii="仿宋_GB2312" w:hAnsi="仿宋_GB2312" w:eastAsia="仿宋_GB2312" w:cs="仿宋_GB2312"/>
                <w:i w:val="0"/>
                <w:iCs w:val="0"/>
                <w:color w:val="000000"/>
                <w:sz w:val="32"/>
                <w:szCs w:val="32"/>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5F40">
            <w:pPr>
              <w:rPr>
                <w:rFonts w:hint="eastAsia" w:ascii="仿宋_GB2312" w:hAnsi="仿宋_GB2312" w:eastAsia="仿宋_GB2312" w:cs="仿宋_GB2312"/>
                <w:i w:val="0"/>
                <w:iCs w:val="0"/>
                <w:color w:val="000000"/>
                <w:sz w:val="32"/>
                <w:szCs w:val="32"/>
                <w:highlight w:val="none"/>
                <w:u w:val="none"/>
              </w:rPr>
            </w:pPr>
          </w:p>
        </w:tc>
      </w:tr>
      <w:tr w14:paraId="2E1D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4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0578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输液接头</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8A0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正压</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73D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由密封胶垫,接头和保护套等部件组成。外观透明、液体流径可见，接头表面平</w:t>
            </w:r>
            <w:bookmarkStart w:id="220" w:name="_GoBack"/>
            <w:bookmarkEnd w:id="220"/>
            <w:r>
              <w:rPr>
                <w:rFonts w:hint="eastAsia" w:ascii="仿宋_GB2312" w:hAnsi="仿宋_GB2312" w:eastAsia="仿宋_GB2312" w:cs="仿宋_GB2312"/>
                <w:i w:val="0"/>
                <w:iCs w:val="0"/>
                <w:color w:val="000000"/>
                <w:kern w:val="0"/>
                <w:sz w:val="32"/>
                <w:szCs w:val="32"/>
                <w:highlight w:val="none"/>
                <w:u w:val="none"/>
                <w:lang w:val="en-US" w:eastAsia="zh-CN" w:bidi="ar"/>
              </w:rPr>
              <w:t>整、密闭紧实、无缝隙。接头构造内无金属。III类注册证管理。</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9B3A3">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个</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0035">
            <w:pPr>
              <w:rPr>
                <w:rFonts w:hint="eastAsia" w:ascii="仿宋_GB2312" w:hAnsi="仿宋_GB2312" w:eastAsia="仿宋_GB2312" w:cs="仿宋_GB2312"/>
                <w:i w:val="0"/>
                <w:iCs w:val="0"/>
                <w:color w:val="000000"/>
                <w:sz w:val="32"/>
                <w:szCs w:val="32"/>
                <w:highlight w:val="none"/>
                <w:u w:val="none"/>
              </w:rPr>
            </w:pPr>
          </w:p>
        </w:tc>
      </w:tr>
      <w:tr w14:paraId="752D0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31481">
            <w:pPr>
              <w:jc w:val="center"/>
              <w:rPr>
                <w:rFonts w:hint="eastAsia" w:ascii="仿宋_GB2312" w:hAnsi="仿宋_GB2312" w:eastAsia="仿宋_GB2312" w:cs="仿宋_GB2312"/>
                <w:i w:val="0"/>
                <w:iCs w:val="0"/>
                <w:color w:val="000000"/>
                <w:sz w:val="32"/>
                <w:szCs w:val="32"/>
                <w:highlight w:val="none"/>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793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非正压</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CC6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由隔膜、主体和端帽等部件组成。有分隔膜设计。III类注册证管理。</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F5F64">
            <w:pPr>
              <w:jc w:val="center"/>
              <w:rPr>
                <w:rFonts w:hint="eastAsia" w:ascii="仿宋_GB2312" w:hAnsi="仿宋_GB2312" w:eastAsia="仿宋_GB2312" w:cs="仿宋_GB2312"/>
                <w:i w:val="0"/>
                <w:iCs w:val="0"/>
                <w:color w:val="000000"/>
                <w:sz w:val="32"/>
                <w:szCs w:val="32"/>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7785">
            <w:pPr>
              <w:rPr>
                <w:rFonts w:hint="eastAsia" w:ascii="仿宋_GB2312" w:hAnsi="仿宋_GB2312" w:eastAsia="仿宋_GB2312" w:cs="仿宋_GB2312"/>
                <w:i w:val="0"/>
                <w:iCs w:val="0"/>
                <w:color w:val="000000"/>
                <w:sz w:val="32"/>
                <w:szCs w:val="32"/>
                <w:highlight w:val="none"/>
                <w:u w:val="none"/>
              </w:rPr>
            </w:pPr>
          </w:p>
        </w:tc>
      </w:tr>
    </w:tbl>
    <w:p w14:paraId="05EA67BD">
      <w:pPr>
        <w:pStyle w:val="21"/>
        <w:rPr>
          <w:rFonts w:hint="eastAsia" w:cs="方正仿宋简体"/>
          <w:spacing w:val="0"/>
          <w:sz w:val="24"/>
          <w:szCs w:val="24"/>
          <w:highlight w:val="none"/>
          <w:lang w:val="en-US" w:eastAsia="zh-CN" w:bidi="ar-SA"/>
        </w:rPr>
      </w:pPr>
    </w:p>
    <w:p w14:paraId="733748ED">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25" w:name="三、采购需求量"/>
      <w:bookmarkEnd w:id="25"/>
      <w:bookmarkStart w:id="26" w:name="_Toc244453926"/>
      <w:bookmarkStart w:id="27" w:name="_Toc9386"/>
      <w:bookmarkStart w:id="28" w:name="_Toc1480513410"/>
      <w:bookmarkStart w:id="29" w:name="_Toc948786577"/>
      <w:bookmarkStart w:id="30" w:name="_Toc1264994868"/>
      <w:bookmarkStart w:id="31" w:name="_Toc148621969"/>
      <w:r>
        <w:rPr>
          <w:rFonts w:hint="eastAsia" w:ascii="黑体" w:hAnsi="黑体" w:eastAsia="黑体" w:cs="黑体"/>
          <w:b w:val="0"/>
          <w:bCs w:val="0"/>
          <w:highlight w:val="none"/>
          <w:lang w:eastAsia="zh-CN"/>
        </w:rPr>
        <w:t>三、采购需求量</w:t>
      </w:r>
      <w:bookmarkEnd w:id="26"/>
      <w:bookmarkEnd w:id="27"/>
      <w:bookmarkEnd w:id="28"/>
      <w:bookmarkEnd w:id="29"/>
      <w:bookmarkEnd w:id="30"/>
      <w:bookmarkEnd w:id="31"/>
    </w:p>
    <w:p w14:paraId="11B3F7E3">
      <w:pPr>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各产品采购需求量根据参与本次联盟采购的医疗机构报送的采购需求量累加得出。</w:t>
      </w:r>
    </w:p>
    <w:p w14:paraId="02D1104F">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32" w:name="四、申报资格"/>
      <w:bookmarkEnd w:id="32"/>
      <w:bookmarkStart w:id="33" w:name="_Toc1189920664"/>
      <w:bookmarkStart w:id="34" w:name="_Toc1340954541"/>
      <w:bookmarkStart w:id="35" w:name="_Toc400917571"/>
      <w:bookmarkStart w:id="36" w:name="_Toc153724953"/>
      <w:bookmarkStart w:id="37" w:name="_Toc1868672031"/>
      <w:bookmarkStart w:id="38" w:name="_Toc21586"/>
      <w:r>
        <w:rPr>
          <w:rFonts w:hint="eastAsia" w:ascii="黑体" w:hAnsi="黑体" w:eastAsia="黑体" w:cs="黑体"/>
          <w:b w:val="0"/>
          <w:bCs w:val="0"/>
          <w:highlight w:val="none"/>
          <w:lang w:eastAsia="zh-CN"/>
        </w:rPr>
        <w:t>四、申报资格</w:t>
      </w:r>
      <w:bookmarkEnd w:id="33"/>
      <w:bookmarkEnd w:id="34"/>
      <w:bookmarkEnd w:id="35"/>
      <w:bookmarkEnd w:id="36"/>
      <w:bookmarkEnd w:id="37"/>
      <w:bookmarkEnd w:id="38"/>
    </w:p>
    <w:p w14:paraId="1084C867">
      <w:pPr>
        <w:keepNext w:val="0"/>
        <w:keepLines w:val="0"/>
        <w:pageBreakBefore w:val="0"/>
        <w:widowControl w:val="0"/>
        <w:kinsoku/>
        <w:wordWrap/>
        <w:overflowPunct/>
        <w:topLinePunct w:val="0"/>
        <w:autoSpaceDE w:val="0"/>
        <w:autoSpaceDN w:val="0"/>
        <w:bidi w:val="0"/>
        <w:adjustRightInd w:val="0"/>
        <w:snapToGrid/>
        <w:spacing w:before="0" w:line="580" w:lineRule="exact"/>
        <w:ind w:left="0" w:right="0" w:righ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SA"/>
        </w:rPr>
      </w:pPr>
      <w:r>
        <w:rPr>
          <w:rFonts w:hint="eastAsia" w:ascii="仿宋_GB2312" w:hAnsi="仿宋_GB2312" w:eastAsia="仿宋_GB2312" w:cs="仿宋_GB2312"/>
          <w:color w:val="000000"/>
          <w:sz w:val="32"/>
          <w:szCs w:val="32"/>
          <w:highlight w:val="none"/>
          <w:lang w:eastAsia="zh-CN"/>
        </w:rPr>
        <w:t>申报企业为提供医用耗材及伴随服务的医用耗材生产企业〔境外医用耗材《医疗器械注册证》上指定的代理人或进口商（报关企业）视同生产企业〕和医疗器械注册人。</w:t>
      </w:r>
      <w:r>
        <w:rPr>
          <w:rFonts w:hint="eastAsia" w:ascii="仿宋_GB2312" w:hAnsi="仿宋_GB2312" w:eastAsia="仿宋_GB2312" w:cs="仿宋_GB2312"/>
          <w:color w:val="000000"/>
          <w:spacing w:val="0"/>
          <w:sz w:val="32"/>
          <w:szCs w:val="32"/>
          <w:highlight w:val="none"/>
          <w:lang w:val="en-US" w:eastAsia="zh-CN" w:bidi="ar-SA"/>
        </w:rPr>
        <w:t>参加</w:t>
      </w: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color w:val="000000"/>
          <w:spacing w:val="0"/>
          <w:sz w:val="32"/>
          <w:szCs w:val="32"/>
          <w:highlight w:val="none"/>
          <w:lang w:val="en-US" w:eastAsia="zh-CN" w:bidi="ar-SA"/>
        </w:rPr>
        <w:t>的申报企业应当符合以下要求：</w:t>
      </w:r>
    </w:p>
    <w:p w14:paraId="4DD8DF7D">
      <w:pPr>
        <w:pStyle w:val="8"/>
        <w:keepNext w:val="0"/>
        <w:keepLines w:val="0"/>
        <w:pageBreakBefore w:val="0"/>
        <w:widowControl w:val="0"/>
        <w:kinsoku/>
        <w:wordWrap/>
        <w:overflowPunct/>
        <w:topLinePunct w:val="0"/>
        <w:autoSpaceDE w:val="0"/>
        <w:autoSpaceDN w:val="0"/>
        <w:bidi w:val="0"/>
        <w:snapToGrid/>
        <w:spacing w:before="0" w:line="580" w:lineRule="exact"/>
        <w:ind w:left="0" w:right="0" w:rightChars="0" w:firstLine="640"/>
        <w:textAlignment w:val="auto"/>
        <w:outlineLvl w:val="2"/>
        <w:rPr>
          <w:rFonts w:hint="eastAsia" w:ascii="楷体_GB2312" w:hAnsi="楷体_GB2312" w:eastAsia="楷体_GB2312" w:cs="楷体_GB2312"/>
          <w:b w:val="0"/>
          <w:bCs/>
          <w:sz w:val="32"/>
          <w:szCs w:val="22"/>
          <w:highlight w:val="none"/>
          <w:lang w:val="en-US" w:eastAsia="zh-CN" w:bidi="ar-SA"/>
        </w:rPr>
      </w:pPr>
      <w:bookmarkStart w:id="39" w:name="_Toc1919726455"/>
      <w:bookmarkStart w:id="40" w:name="_Toc30916"/>
      <w:bookmarkStart w:id="41" w:name="_Toc1211466799"/>
      <w:bookmarkStart w:id="42" w:name="_Toc1628878984"/>
      <w:bookmarkStart w:id="43" w:name="_Toc1565415158"/>
      <w:r>
        <w:rPr>
          <w:rFonts w:hint="eastAsia" w:ascii="楷体_GB2312" w:hAnsi="楷体_GB2312" w:eastAsia="楷体_GB2312" w:cs="楷体_GB2312"/>
          <w:b w:val="0"/>
          <w:bCs/>
          <w:sz w:val="32"/>
          <w:szCs w:val="22"/>
          <w:highlight w:val="none"/>
          <w:lang w:val="en-US" w:eastAsia="zh-CN" w:bidi="ar-SA"/>
        </w:rPr>
        <w:t>（一）资质要求</w:t>
      </w:r>
      <w:bookmarkEnd w:id="39"/>
      <w:bookmarkEnd w:id="40"/>
      <w:bookmarkEnd w:id="41"/>
      <w:bookmarkEnd w:id="42"/>
      <w:bookmarkEnd w:id="43"/>
    </w:p>
    <w:p w14:paraId="0794531D">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1.申报企业为已取得本次集中带量采购产品合法资质的医疗器械注册人（含备案人，下同）。境外医疗器械注册人应当指定我国境内企业法人协助其履行相应的法律义务，委托其作为申报企业。同一境外医疗器械注册人（代理人或报关企业）的产品不得委托不同企业进行申报。不同境外医疗器械注册人（代理人或报关企业）委托同一家企业申报的，如医疗器械注册人非同一实际控制人，且不存在控股关系，则根据医疗器械注册人数量视为多个申报企业；如医疗器械注册人为同一实际控制人或存在控股关系，则视为同一申报企业。</w:t>
      </w:r>
    </w:p>
    <w:p w14:paraId="226D7C46">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2.申报企业的产品应当符合国家有关部门的质量标准要求，并按国家有关部门要求组织生产。</w:t>
      </w:r>
    </w:p>
    <w:p w14:paraId="7552D66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3.申报企业应遵守《中华人民共和国民法典》《中华人民共和国价格法》《中华人民共和国专利法》《中华人民共和国反不正当竞争法》《中华人民共和国反垄断法》等相关法律法规。</w:t>
      </w:r>
    </w:p>
    <w:p w14:paraId="22E1205B">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4.不接受被列入《全国医药价格和招采失信企业风险警示名单》和被我省评定为失信等级“特别严重”的企业申报。</w:t>
      </w:r>
    </w:p>
    <w:p w14:paraId="58F6E93C">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5.申报企业应具有履行合同必须具备的能力，一旦中选，作为保障质量、供应的第一责任人，应及时、保质、足量按要求组织生产，并向配送企业发送医用耗材，满足医疗机构临床需求。</w:t>
      </w:r>
    </w:p>
    <w:p w14:paraId="5D7CC57F">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6.申报企业应指定人员为授权人代表负责本次联盟采购活动的管理，并承担相应法律责任。</w:t>
      </w:r>
    </w:p>
    <w:p w14:paraId="00202618">
      <w:pPr>
        <w:pStyle w:val="8"/>
        <w:keepNext w:val="0"/>
        <w:keepLines w:val="0"/>
        <w:pageBreakBefore w:val="0"/>
        <w:widowControl w:val="0"/>
        <w:kinsoku/>
        <w:wordWrap/>
        <w:overflowPunct/>
        <w:topLinePunct w:val="0"/>
        <w:autoSpaceDE w:val="0"/>
        <w:autoSpaceDN w:val="0"/>
        <w:bidi w:val="0"/>
        <w:snapToGrid/>
        <w:spacing w:before="0" w:line="580" w:lineRule="exact"/>
        <w:ind w:left="0" w:right="0" w:rightChars="0" w:firstLine="640"/>
        <w:textAlignment w:val="auto"/>
        <w:outlineLvl w:val="2"/>
        <w:rPr>
          <w:rFonts w:hint="eastAsia" w:ascii="楷体_GB2312" w:hAnsi="楷体_GB2312" w:eastAsia="楷体_GB2312" w:cs="楷体_GB2312"/>
          <w:b w:val="0"/>
          <w:bCs/>
          <w:sz w:val="32"/>
          <w:szCs w:val="22"/>
          <w:highlight w:val="none"/>
          <w:lang w:val="en-US" w:eastAsia="zh-CN" w:bidi="ar-SA"/>
        </w:rPr>
      </w:pPr>
      <w:bookmarkStart w:id="44" w:name="_Toc447552132"/>
      <w:bookmarkStart w:id="45" w:name="_Toc25825"/>
      <w:bookmarkStart w:id="46" w:name="_Toc1850347452"/>
      <w:bookmarkStart w:id="47" w:name="_Toc1110401109"/>
      <w:bookmarkStart w:id="48" w:name="_Toc1252836716"/>
      <w:r>
        <w:rPr>
          <w:rFonts w:hint="eastAsia" w:ascii="楷体_GB2312" w:hAnsi="楷体_GB2312" w:eastAsia="楷体_GB2312" w:cs="楷体_GB2312"/>
          <w:b w:val="0"/>
          <w:bCs/>
          <w:sz w:val="32"/>
          <w:szCs w:val="22"/>
          <w:highlight w:val="none"/>
          <w:lang w:val="en-US" w:eastAsia="zh-CN" w:bidi="ar-SA"/>
        </w:rPr>
        <w:t>（二）其他要求</w:t>
      </w:r>
      <w:bookmarkEnd w:id="44"/>
      <w:bookmarkEnd w:id="45"/>
      <w:bookmarkEnd w:id="46"/>
      <w:bookmarkEnd w:id="47"/>
      <w:bookmarkEnd w:id="48"/>
    </w:p>
    <w:p w14:paraId="0DEF5193">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lang w:val="en-US" w:eastAsia="zh-CN"/>
        </w:rPr>
        <w:t>1.</w:t>
      </w:r>
      <w:r>
        <w:rPr>
          <w:rFonts w:hint="eastAsia" w:ascii="仿宋_GB2312" w:hAnsi="仿宋_GB2312" w:eastAsia="仿宋_GB2312" w:cs="仿宋_GB2312"/>
          <w:spacing w:val="-1"/>
          <w:sz w:val="32"/>
          <w:szCs w:val="32"/>
          <w:highlight w:val="none"/>
        </w:rPr>
        <w:t>申报企业不得以欺诈、串通投标、滥用市场支配地位等方式竞标扰乱集中采购秩序。</w:t>
      </w:r>
    </w:p>
    <w:p w14:paraId="7EA1A92B">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lang w:val="en-US" w:eastAsia="zh-CN"/>
        </w:rPr>
        <w:t>2.</w:t>
      </w:r>
      <w:r>
        <w:rPr>
          <w:rFonts w:hint="eastAsia" w:ascii="仿宋_GB2312" w:hAnsi="仿宋_GB2312" w:eastAsia="仿宋_GB2312" w:cs="仿宋_GB2312"/>
          <w:spacing w:val="-1"/>
          <w:sz w:val="32"/>
          <w:szCs w:val="32"/>
          <w:highlight w:val="none"/>
        </w:rPr>
        <w:t>申报企业涉嫌未如实提供申报资料及相关证明材料，情节严重的，取消该企业参与</w:t>
      </w: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spacing w:val="-1"/>
          <w:sz w:val="32"/>
          <w:szCs w:val="32"/>
          <w:highlight w:val="none"/>
        </w:rPr>
        <w:t>资格，并按有关规定处理。</w:t>
      </w:r>
    </w:p>
    <w:p w14:paraId="30DD89CE">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lang w:val="en-US" w:eastAsia="zh-CN"/>
        </w:rPr>
        <w:t>3.</w:t>
      </w:r>
      <w:r>
        <w:rPr>
          <w:rFonts w:hint="eastAsia" w:ascii="仿宋_GB2312" w:hAnsi="仿宋_GB2312" w:eastAsia="仿宋_GB2312" w:cs="仿宋_GB2312"/>
          <w:spacing w:val="-1"/>
          <w:sz w:val="32"/>
          <w:szCs w:val="32"/>
          <w:highlight w:val="none"/>
        </w:rPr>
        <w:t>企业申投诉应依法依规在公示期内提供合法有效证据材料，恶意质疑投诉的企业纳入不良记录管理。</w:t>
      </w:r>
    </w:p>
    <w:p w14:paraId="7896EF52">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lang w:val="en-US" w:eastAsia="zh-CN"/>
        </w:rPr>
        <w:t>4.</w:t>
      </w:r>
      <w:r>
        <w:rPr>
          <w:rFonts w:hint="eastAsia" w:ascii="仿宋_GB2312" w:hAnsi="仿宋_GB2312" w:eastAsia="仿宋_GB2312" w:cs="仿宋_GB2312"/>
          <w:spacing w:val="-1"/>
          <w:sz w:val="32"/>
          <w:szCs w:val="32"/>
          <w:highlight w:val="none"/>
        </w:rPr>
        <w:t>申报企业中选后，须按要求签订带量购销</w:t>
      </w:r>
      <w:r>
        <w:rPr>
          <w:rFonts w:hint="eastAsia" w:ascii="仿宋_GB2312" w:hAnsi="仿宋_GB2312" w:eastAsia="仿宋_GB2312" w:cs="仿宋_GB2312"/>
          <w:spacing w:val="-1"/>
          <w:sz w:val="32"/>
          <w:szCs w:val="32"/>
          <w:highlight w:val="none"/>
          <w:lang w:eastAsia="zh-CN"/>
        </w:rPr>
        <w:t>合同</w:t>
      </w:r>
      <w:r>
        <w:rPr>
          <w:rFonts w:hint="eastAsia" w:ascii="仿宋_GB2312" w:hAnsi="仿宋_GB2312" w:eastAsia="仿宋_GB2312" w:cs="仿宋_GB2312"/>
          <w:spacing w:val="-1"/>
          <w:sz w:val="32"/>
          <w:szCs w:val="32"/>
          <w:highlight w:val="none"/>
        </w:rPr>
        <w:t>。</w:t>
      </w:r>
    </w:p>
    <w:p w14:paraId="73297951">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lang w:val="en-US" w:eastAsia="zh-CN"/>
        </w:rPr>
        <w:t>5.</w:t>
      </w:r>
      <w:bookmarkStart w:id="49" w:name="6.中选医用耗材在履行合同中如遇国家政策调整或不可抗力，致使直接影响协议履行的，"/>
      <w:bookmarkEnd w:id="49"/>
      <w:bookmarkStart w:id="50" w:name="6.中选医用耗材在履行合同中如遇国家政策调整或不可抗力，致使直接影响协议履行的，"/>
      <w:bookmarkEnd w:id="50"/>
      <w:r>
        <w:rPr>
          <w:rFonts w:hint="eastAsia" w:ascii="仿宋_GB2312" w:hAnsi="仿宋_GB2312" w:eastAsia="仿宋_GB2312" w:cs="仿宋_GB2312"/>
          <w:spacing w:val="-1"/>
          <w:sz w:val="32"/>
          <w:szCs w:val="32"/>
          <w:highlight w:val="none"/>
        </w:rPr>
        <w:t>中选医用耗材在履行合同中，如同产品在全</w:t>
      </w:r>
      <w:r>
        <w:rPr>
          <w:rFonts w:hint="eastAsia" w:ascii="仿宋_GB2312" w:hAnsi="仿宋_GB2312" w:eastAsia="仿宋_GB2312" w:cs="仿宋_GB2312"/>
          <w:spacing w:val="-1"/>
          <w:sz w:val="32"/>
          <w:szCs w:val="32"/>
          <w:highlight w:val="none"/>
          <w:lang w:val="en-US" w:eastAsia="zh-CN"/>
        </w:rPr>
        <w:t>国</w:t>
      </w:r>
      <w:r>
        <w:rPr>
          <w:rFonts w:hint="eastAsia" w:ascii="仿宋_GB2312" w:hAnsi="仿宋_GB2312" w:eastAsia="仿宋_GB2312" w:cs="仿宋_GB2312"/>
          <w:spacing w:val="-1"/>
          <w:sz w:val="32"/>
          <w:szCs w:val="32"/>
          <w:highlight w:val="none"/>
        </w:rPr>
        <w:t>其他地市级（含联盟）及以上集中采购（含带量采购）中</w:t>
      </w:r>
      <w:r>
        <w:rPr>
          <w:rFonts w:hint="eastAsia" w:ascii="仿宋_GB2312" w:hAnsi="仿宋_GB2312" w:eastAsia="仿宋_GB2312" w:cs="仿宋_GB2312"/>
          <w:spacing w:val="-1"/>
          <w:sz w:val="32"/>
          <w:szCs w:val="32"/>
          <w:highlight w:val="none"/>
          <w:lang w:val="en-US" w:eastAsia="zh-CN"/>
        </w:rPr>
        <w:t>新</w:t>
      </w:r>
      <w:r>
        <w:rPr>
          <w:rFonts w:hint="eastAsia" w:ascii="仿宋_GB2312" w:hAnsi="仿宋_GB2312" w:eastAsia="仿宋_GB2312" w:cs="仿宋_GB2312"/>
          <w:spacing w:val="-1"/>
          <w:sz w:val="32"/>
          <w:szCs w:val="32"/>
          <w:highlight w:val="none"/>
        </w:rPr>
        <w:t>产生更低中选价格，价格须相应联动。</w:t>
      </w:r>
    </w:p>
    <w:p w14:paraId="13D3145B">
      <w:pPr>
        <w:pStyle w:val="23"/>
        <w:keepNext w:val="0"/>
        <w:keepLines w:val="0"/>
        <w:pageBreakBefore w:val="0"/>
        <w:widowControl w:val="0"/>
        <w:numPr>
          <w:ilvl w:val="0"/>
          <w:numId w:val="0"/>
        </w:numPr>
        <w:tabs>
          <w:tab w:val="left" w:pos="1066"/>
        </w:tabs>
        <w:kinsoku/>
        <w:wordWrap/>
        <w:overflowPunct/>
        <w:topLinePunct w:val="0"/>
        <w:autoSpaceDE w:val="0"/>
        <w:autoSpaceDN w:val="0"/>
        <w:bidi w:val="0"/>
        <w:snapToGrid/>
        <w:spacing w:before="0" w:after="0" w:line="580" w:lineRule="exact"/>
        <w:ind w:left="0" w:right="0" w:rightChars="0" w:firstLine="636" w:firstLineChars="200"/>
        <w:jc w:val="both"/>
        <w:textAlignment w:val="auto"/>
        <w:rPr>
          <w:rFonts w:hint="eastAsia"/>
          <w:spacing w:val="-1"/>
          <w:sz w:val="32"/>
          <w:szCs w:val="32"/>
          <w:highlight w:val="none"/>
        </w:rPr>
      </w:pPr>
      <w:r>
        <w:rPr>
          <w:rFonts w:hint="eastAsia" w:ascii="仿宋_GB2312" w:hAnsi="仿宋_GB2312" w:eastAsia="仿宋_GB2312" w:cs="仿宋_GB2312"/>
          <w:spacing w:val="-1"/>
          <w:sz w:val="32"/>
          <w:szCs w:val="32"/>
          <w:highlight w:val="none"/>
          <w:lang w:val="en-US" w:eastAsia="zh-CN"/>
        </w:rPr>
        <w:t>6.</w:t>
      </w:r>
      <w:r>
        <w:rPr>
          <w:rFonts w:hint="eastAsia" w:ascii="仿宋_GB2312" w:hAnsi="仿宋_GB2312" w:eastAsia="仿宋_GB2312" w:cs="仿宋_GB2312"/>
          <w:spacing w:val="-1"/>
          <w:sz w:val="32"/>
          <w:szCs w:val="32"/>
          <w:highlight w:val="none"/>
        </w:rPr>
        <w:t>中选医用耗材在履行合同中如遇国家政策调整或不可抗力，致使直接影响协议履行的，由签订购销</w:t>
      </w:r>
      <w:r>
        <w:rPr>
          <w:rFonts w:hint="eastAsia" w:ascii="仿宋_GB2312" w:hAnsi="仿宋_GB2312" w:eastAsia="仿宋_GB2312" w:cs="仿宋_GB2312"/>
          <w:spacing w:val="-1"/>
          <w:sz w:val="32"/>
          <w:szCs w:val="32"/>
          <w:highlight w:val="none"/>
          <w:lang w:eastAsia="zh-CN"/>
        </w:rPr>
        <w:t>合同</w:t>
      </w:r>
      <w:r>
        <w:rPr>
          <w:rFonts w:hint="eastAsia" w:ascii="仿宋_GB2312" w:hAnsi="仿宋_GB2312" w:eastAsia="仿宋_GB2312" w:cs="仿宋_GB2312"/>
          <w:spacing w:val="-1"/>
          <w:sz w:val="32"/>
          <w:szCs w:val="32"/>
          <w:highlight w:val="none"/>
        </w:rPr>
        <w:t>中的各方协商解决。</w:t>
      </w:r>
    </w:p>
    <w:p w14:paraId="09341442">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51" w:name="五、采购执行说明"/>
      <w:bookmarkEnd w:id="51"/>
      <w:bookmarkStart w:id="52" w:name="_Toc878546533"/>
      <w:bookmarkStart w:id="53" w:name="_Toc31004"/>
      <w:bookmarkStart w:id="54" w:name="_Toc1915664457"/>
      <w:bookmarkStart w:id="55" w:name="_Toc536155550"/>
      <w:bookmarkStart w:id="56" w:name="_Toc1520950730"/>
      <w:bookmarkStart w:id="57" w:name="_Toc91790949"/>
      <w:r>
        <w:rPr>
          <w:rFonts w:hint="eastAsia" w:ascii="黑体" w:hAnsi="黑体" w:eastAsia="黑体" w:cs="黑体"/>
          <w:b w:val="0"/>
          <w:bCs w:val="0"/>
          <w:highlight w:val="none"/>
          <w:lang w:eastAsia="zh-CN"/>
        </w:rPr>
        <w:t>五、采购执行说明</w:t>
      </w:r>
      <w:bookmarkEnd w:id="52"/>
      <w:bookmarkEnd w:id="53"/>
      <w:bookmarkEnd w:id="54"/>
      <w:bookmarkEnd w:id="55"/>
      <w:bookmarkEnd w:id="56"/>
      <w:bookmarkEnd w:id="57"/>
    </w:p>
    <w:p w14:paraId="6DFBBC6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（一）联盟地市所有公立医疗机构（含军队医疗机构，下同）均应按规定参加医用耗材集中带量采购。鼓励医保定点社会办医疗机构在进一步完善医用耗材进销存管理、确保医用耗材货款及时结算的基础上参与。</w:t>
      </w:r>
    </w:p>
    <w:p w14:paraId="2DB4AB6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（二）集中带量采购结果执行周期中，各有关医疗机构应优先使用集中带量采购中选产品，并确保完成每个中选企业产品的协议采购量。</w:t>
      </w:r>
    </w:p>
    <w:p w14:paraId="19E9FB04">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（三）各有关医疗机构应在采购周期内完成中选产品协议采购量。各有关医疗机构在完成中选产品协议采购量的基础上，剩余用量可适量采购同品种价格适宜的其他医用耗材。</w:t>
      </w:r>
    </w:p>
    <w:p w14:paraId="16C836F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四）各有关医疗机构应畅通集中带量采购中选产品采购使用渠道，确保完成协议采购量。各级医保部门和医疗机构不得以医疗机构医用耗材使用品种数量、医用耗材管理委员会评审为由影响中选产品的合理使用。</w:t>
      </w:r>
    </w:p>
    <w:p w14:paraId="588405F5">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（五）采购周期内，如中选产品注册证有更新，新证上应体现与旧证的关联性，中选资格及中选价格维持不变。</w:t>
      </w:r>
    </w:p>
    <w:p w14:paraId="062404D7">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（六）采购周期内，对于本批次集采网上申报产品资料截止日后的新获批产品，医疗机构采购价格不高于同竞价单元中选产品中位价的，不纳入非中选统计。</w:t>
      </w:r>
    </w:p>
    <w:p w14:paraId="441181A0">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58" w:name="六、采购周期与采购协议"/>
      <w:bookmarkEnd w:id="58"/>
      <w:bookmarkStart w:id="59" w:name="_Toc913838032"/>
      <w:bookmarkStart w:id="60" w:name="_Toc389626496"/>
      <w:bookmarkStart w:id="61" w:name="_Toc1781507006"/>
      <w:bookmarkStart w:id="62" w:name="_Toc1121068869"/>
      <w:bookmarkStart w:id="63" w:name="_Toc802049744"/>
      <w:bookmarkStart w:id="64" w:name="_Toc17379"/>
      <w:r>
        <w:rPr>
          <w:rFonts w:hint="eastAsia" w:ascii="黑体" w:hAnsi="黑体" w:eastAsia="黑体" w:cs="黑体"/>
          <w:b w:val="0"/>
          <w:bCs w:val="0"/>
          <w:highlight w:val="none"/>
          <w:lang w:eastAsia="zh-CN"/>
        </w:rPr>
        <w:t>六、采购周期与采购协议</w:t>
      </w:r>
      <w:bookmarkEnd w:id="59"/>
      <w:bookmarkEnd w:id="60"/>
      <w:bookmarkEnd w:id="61"/>
      <w:bookmarkEnd w:id="62"/>
      <w:bookmarkEnd w:id="63"/>
      <w:bookmarkEnd w:id="64"/>
    </w:p>
    <w:p w14:paraId="0C10380C">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（一）采购周期自中选结果实际执行日起计算，原则上为2年。</w:t>
      </w:r>
    </w:p>
    <w:p w14:paraId="4E168359">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（二）采购周期内若提前完成当年协议采购量，超过部分中选企业仍应按中选价格进行供应，直至采购周期届满。</w:t>
      </w:r>
    </w:p>
    <w:p w14:paraId="40297D86">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（三）采购周期内相关医用耗材品类纳入国家、省级及省际联盟组织集中带量采购，按要求执行相关带量采购结果。</w:t>
      </w:r>
    </w:p>
    <w:p w14:paraId="6D800E1E">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65" w:name="七、申报方式"/>
      <w:bookmarkEnd w:id="65"/>
      <w:bookmarkStart w:id="66" w:name="_Toc1930446152"/>
      <w:bookmarkStart w:id="67" w:name="_Toc1571243368"/>
      <w:bookmarkStart w:id="68" w:name="_Toc488387941"/>
      <w:bookmarkStart w:id="69" w:name="_Toc394867356"/>
      <w:bookmarkStart w:id="70" w:name="_Toc22935"/>
      <w:bookmarkStart w:id="71" w:name="_Toc282191325"/>
      <w:r>
        <w:rPr>
          <w:rFonts w:hint="eastAsia" w:ascii="黑体" w:hAnsi="黑体" w:eastAsia="黑体" w:cs="黑体"/>
          <w:b w:val="0"/>
          <w:bCs w:val="0"/>
          <w:highlight w:val="none"/>
          <w:lang w:eastAsia="zh-CN"/>
        </w:rPr>
        <w:t>七、申报方式</w:t>
      </w:r>
      <w:bookmarkEnd w:id="66"/>
      <w:bookmarkEnd w:id="67"/>
      <w:bookmarkEnd w:id="68"/>
      <w:bookmarkEnd w:id="69"/>
      <w:bookmarkEnd w:id="70"/>
      <w:bookmarkEnd w:id="71"/>
    </w:p>
    <w:p w14:paraId="4131B5A6">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spacing w:val="-1"/>
          <w:sz w:val="32"/>
          <w:szCs w:val="32"/>
          <w:highlight w:val="none"/>
          <w:lang w:val="en-US" w:eastAsia="zh-CN"/>
        </w:rPr>
        <w:t>采用网上申报的方式进行。申报企业须注册并登录联盟集采网址进行网上医用耗材申报、资料提交、信息澄清、报价等相关操作。</w:t>
      </w:r>
    </w:p>
    <w:p w14:paraId="2F0E8461">
      <w:pPr>
        <w:pStyle w:val="3"/>
        <w:keepNext w:val="0"/>
        <w:keepLines w:val="0"/>
        <w:pageBreakBefore w:val="0"/>
        <w:widowControl w:val="0"/>
        <w:kinsoku/>
        <w:wordWrap/>
        <w:overflowPunct/>
        <w:topLinePunct w:val="0"/>
        <w:autoSpaceDE w:val="0"/>
        <w:autoSpaceDN w:val="0"/>
        <w:bidi w:val="0"/>
        <w:adjustRightInd/>
        <w:snapToGrid/>
        <w:spacing w:before="0" w:line="58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72" w:name="_Toc280878817"/>
      <w:bookmarkStart w:id="73" w:name="_Toc617830646"/>
      <w:bookmarkStart w:id="74" w:name="_Toc825537788"/>
      <w:bookmarkStart w:id="75" w:name="_Toc1875903523"/>
      <w:bookmarkStart w:id="76" w:name="_Toc1328424262"/>
      <w:bookmarkStart w:id="77" w:name="_Toc20757"/>
      <w:r>
        <w:rPr>
          <w:rFonts w:hint="eastAsia" w:ascii="黑体" w:hAnsi="黑体" w:eastAsia="黑体" w:cs="黑体"/>
          <w:b w:val="0"/>
          <w:bCs w:val="0"/>
          <w:highlight w:val="none"/>
          <w:lang w:eastAsia="zh-CN"/>
        </w:rPr>
        <w:t>八、工作流程</w:t>
      </w:r>
      <w:bookmarkEnd w:id="72"/>
      <w:bookmarkEnd w:id="73"/>
      <w:bookmarkEnd w:id="74"/>
      <w:bookmarkEnd w:id="75"/>
      <w:bookmarkEnd w:id="76"/>
      <w:bookmarkEnd w:id="77"/>
    </w:p>
    <w:p w14:paraId="29AC06F4">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8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本次联盟采购工作流程如下，具体时间安排及工作要求另行通知。</w:t>
      </w:r>
    </w:p>
    <w:p w14:paraId="087793D7">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default" w:eastAsia="宋体"/>
          <w:sz w:val="24"/>
          <w:szCs w:val="24"/>
          <w:highlight w:val="none"/>
          <w:lang w:val="en-US" w:eastAsia="zh-CN"/>
        </w:rPr>
      </w:pPr>
      <w:r>
        <w:rPr>
          <w:sz w:val="24"/>
          <w:highlight w:val="none"/>
        </w:rPr>
        <mc:AlternateContent>
          <mc:Choice Requires="wps">
            <w:drawing>
              <wp:anchor distT="0" distB="0" distL="114300" distR="114300" simplePos="0" relativeHeight="251662336" behindDoc="0" locked="0" layoutInCell="1" allowOverlap="1">
                <wp:simplePos x="0" y="0"/>
                <wp:positionH relativeFrom="column">
                  <wp:posOffset>1648460</wp:posOffset>
                </wp:positionH>
                <wp:positionV relativeFrom="paragraph">
                  <wp:posOffset>181610</wp:posOffset>
                </wp:positionV>
                <wp:extent cx="2454910" cy="273685"/>
                <wp:effectExtent l="4445" t="4445" r="17145" b="7620"/>
                <wp:wrapNone/>
                <wp:docPr id="7" name="文本框 33"/>
                <wp:cNvGraphicFramePr/>
                <a:graphic xmlns:a="http://schemas.openxmlformats.org/drawingml/2006/main">
                  <a:graphicData uri="http://schemas.microsoft.com/office/word/2010/wordprocessingShape">
                    <wps:wsp>
                      <wps:cNvSpPr txBox="1"/>
                      <wps:spPr>
                        <a:xfrm>
                          <a:off x="0" y="0"/>
                          <a:ext cx="2454910" cy="2736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263204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医疗机构申报历史量和需求量</w:t>
                            </w:r>
                          </w:p>
                        </w:txbxContent>
                      </wps:txbx>
                      <wps:bodyPr wrap="square" upright="1"/>
                    </wps:wsp>
                  </a:graphicData>
                </a:graphic>
              </wp:anchor>
            </w:drawing>
          </mc:Choice>
          <mc:Fallback>
            <w:pict>
              <v:shape id="文本框 33" o:spid="_x0000_s1026" o:spt="202" type="#_x0000_t202" style="position:absolute;left:0pt;margin-left:129.8pt;margin-top:14.3pt;height:21.55pt;width:193.3pt;z-index:251662336;mso-width-relative:page;mso-height-relative:page;" fillcolor="#FFFFFF" filled="t" stroked="t" coordsize="21600,21600" o:gfxdata="UEsDBAoAAAAAAIdO4kAAAAAAAAAAAAAAAAAEAAAAZHJzL1BLAwQUAAAACACHTuJAIHb3ddgAAAAJ&#10;AQAADwAAAGRycy9kb3ducmV2LnhtbE2PwU7DMAyG70i8Q2QkLoilLSPtStMdkEBwGwPBNWuytiJx&#10;SpJ14+0xJzjZlj/9/tysT86y2YQ4epSQLzJgBjuvR+wlvL0+XFfAYlKolfVoJHybCOv2/KxRtfZH&#10;fDHzNvWMQjDWSsKQ0lRzHrvBOBUXfjJIu70PTiUaQ891UEcKd5YXWSa4UyPShUFN5n4w3ef24CRU&#10;y6f5Iz7fbN47sberdFXOj19BysuLPLsDlswp/cHwq0/q0JLTzh9QR2YlFLcrQSg1FVUCxFIUwHYS&#10;yrwE3jb8/wftD1BLAwQUAAAACACHTuJAeFzcMB0CAABTBAAADgAAAGRycy9lMm9Eb2MueG1srVRL&#10;ktMwEN1TxR1U2hPnM5mPa5ypghA2FFA1cABFatuq0g9JiZ0LwA1YsWE/58o5aMmZkBlYZIEXdkv9&#10;9Lr7dcu3d71WZAs+SGsqOhmNKQHDrZCmqeiXz6tX15SEyIxgyhqo6A4CvVu8fHHbuRKmtrVKgCdI&#10;YkLZuYq2MbqyKAJvQbMwsg4MOmvrNYu49E0hPOuQXatiOh5fFp31wnnLIQTcXQ5OemD05xDaupYc&#10;lpZvNJg4sHpQLGJJoZUu0EXOtq6Bx491HSASVVGsNOY3BkF7nd7F4paVjWeulfyQAjsnhWc1aSYN&#10;Bj1SLVlkZOPlX1Racm+DreOIW10MhWRFsIrJ+Jk29y1zkGtBqYM7ih7+Hy3/sP3kiRQVvaLEMI0N&#10;3//4vv/5sP/1jcxmSZ/OhRJh9w6BsX9te5yax/2Am6nsvvY6fbEggn5Ud3dUF/pIOG5OL+YXNxN0&#10;cfRNr2aX1/NEU/w57XyI78BqkoyKeuxeFpVt34c4QB8hKViwSoqVVCovfLN+ozzZMuz0Kj8H9icw&#10;ZUhX0Zv5dI55MBzfGscGTe1QgmCaHO/JiXBKPM7Pv4hTYksW2iGBzJBgrNQygs9WC0y8NYLEnUOZ&#10;Dd4umpLRIChRgJcxWRkZmVTnIFE7ZVIQyKN+UCk1bGhMsmK/7pE0mWsrdtjEDscdi/26YR4z2Dgv&#10;mxblzk0tEg5nLfflcC/SMJ+u0T79F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B293XYAAAA&#10;CQEAAA8AAAAAAAAAAQAgAAAAIgAAAGRycy9kb3ducmV2LnhtbFBLAQIUABQAAAAIAIdO4kB4XNww&#10;HQIAAFMEAAAOAAAAAAAAAAEAIAAAACcBAABkcnMvZTJvRG9jLnhtbFBLBQYAAAAABgAGAFkBAAC2&#10;BQAAAAA=&#10;">
                <v:fill on="t" focussize="0,0"/>
                <v:stroke color="#000000" joinstyle="miter"/>
                <v:imagedata o:title=""/>
                <o:lock v:ext="edit" aspectratio="f"/>
                <v:textbox>
                  <w:txbxContent>
                    <w:p w14:paraId="0263204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医疗机构申报历史量和需求量</w:t>
                      </w:r>
                    </w:p>
                  </w:txbxContent>
                </v:textbox>
              </v:shape>
            </w:pict>
          </mc:Fallback>
        </mc:AlternateContent>
      </w:r>
    </w:p>
    <w:p w14:paraId="3AF1AC8A">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ascii="东文宋体" w:hAnsi="东文宋体" w:eastAsia="东文宋体" w:cs="东文宋体"/>
          <w:sz w:val="24"/>
          <w:szCs w:val="24"/>
          <w:highlight w:val="none"/>
        </w:rPr>
      </w:pPr>
      <w:r>
        <w:rPr>
          <w:rFonts w:hint="eastAsia" w:ascii="东文宋体" w:hAnsi="东文宋体" w:eastAsia="东文宋体" w:cs="东文宋体"/>
          <w:sz w:val="24"/>
          <w:szCs w:val="24"/>
          <w:highlight w:val="none"/>
        </w:rPr>
        <w:t>↓</w:t>
      </w:r>
    </w:p>
    <w:p w14:paraId="0E52B5E4">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default" w:ascii="东文宋体" w:hAnsi="东文宋体" w:eastAsia="东文宋体" w:cs="东文宋体"/>
          <w:sz w:val="24"/>
          <w:szCs w:val="24"/>
          <w:highlight w:val="none"/>
          <w:lang w:val="en-US"/>
        </w:rPr>
      </w:pPr>
      <w:r>
        <w:rPr>
          <w:sz w:val="24"/>
          <w:highlight w:val="none"/>
        </w:rPr>
        <mc:AlternateContent>
          <mc:Choice Requires="wps">
            <w:drawing>
              <wp:anchor distT="0" distB="0" distL="114300" distR="114300" simplePos="0" relativeHeight="251660288" behindDoc="1" locked="0" layoutInCell="1" allowOverlap="1">
                <wp:simplePos x="0" y="0"/>
                <wp:positionH relativeFrom="column">
                  <wp:posOffset>1634490</wp:posOffset>
                </wp:positionH>
                <wp:positionV relativeFrom="paragraph">
                  <wp:posOffset>60960</wp:posOffset>
                </wp:positionV>
                <wp:extent cx="2454910" cy="302260"/>
                <wp:effectExtent l="4445" t="4445" r="17145" b="17145"/>
                <wp:wrapNone/>
                <wp:docPr id="1" name="文本框 32"/>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5D0ADF">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发布采购文件征求意见稿</w:t>
                            </w:r>
                          </w:p>
                        </w:txbxContent>
                      </wps:txbx>
                      <wps:bodyPr wrap="square" upright="1"/>
                    </wps:wsp>
                  </a:graphicData>
                </a:graphic>
              </wp:anchor>
            </w:drawing>
          </mc:Choice>
          <mc:Fallback>
            <w:pict>
              <v:shape id="文本框 32" o:spid="_x0000_s1026" o:spt="202" type="#_x0000_t202" style="position:absolute;left:0pt;margin-left:128.7pt;margin-top:4.8pt;height:23.8pt;width:193.3pt;z-index:-251656192;mso-width-relative:page;mso-height-relative:page;" fillcolor="#FFFFFF" filled="t" stroked="t" coordsize="21600,21600" o:gfxdata="UEsDBAoAAAAAAIdO4kAAAAAAAAAAAAAAAAAEAAAAZHJzL1BLAwQUAAAACACHTuJA3Wfyn9gAAAAI&#10;AQAADwAAAGRycy9kb3ducmV2LnhtbE2PvU7DQBCEeyTe4bRINIicYxw7MV6nQAJBBwEl7cXe2Bb3&#10;Y+4uTnh7lgrK0YxmvqnWZ6PFRD4MziLMZwkIso1rB9shfLw/3i5BhKhsq7SzhPBNAdb15UWlytad&#10;7BtNm9gJLrGhVAh9jGMpZWh6MirM3EiWvYPzRkWWvpOtVycuN1qmSZJLowbLC70a6aGn5nNzNAjL&#10;7HnahZe7122TH/Qq3hTT05dHvL6aJ/cgIp3jXxh+8Rkdambau6Ntg9AI6aLIOIqwykGwn2cZf9sj&#10;LIoUZF3J/wfqH1BLAwQUAAAACACHTuJAak8ofR0CAABTBAAADgAAAGRycy9lMm9Eb2MueG1srVTN&#10;jtMwEL4j8Q6W7zRpdrtio6YrQSkXBEgLD+Dak8SS/7DdJn0BeANOXLjzXH2OHbuldBcOPZBDMvZ8&#10;/mbmm3Hmd6NWZAs+SGsaOp2UlIDhVkjTNfTzp9WLl5SEyIxgyhpo6A4CvVs8fzYfXA2V7a0S4AmS&#10;mFAPrqF9jK4uisB70CxMrAODztZ6zSIufVcIzwZk16qoyvKmGKwXzlsOIeDu8uCkR0Z/CaFtW8lh&#10;aflGg4kHVg+KRSwp9NIFusjZti3w+KFtA0SiGoqVxvzGIGiv07tYzFndeeZ6yY8psEtSeFKTZtJg&#10;0BPVkkVGNl7+RaUl9zbYNk641cWhkKwIVjEtn2hz3zMHuRaUOriT6OH/0fL324+eSIGTQIlhGhu+&#10;//5t/+PX/udXclUlfQYXaoTdOwTG8ZUdE/a4H3AzlT22XqcvFkTQj+ruTurCGAnHzep6dn07RRdH&#10;31VZVTdZ/uLPaedDfAtWk2Q01GP3sqhs+y5EjIjQ35AULFglxUoqlRe+W79WnmwZdnqVn5QkHnkE&#10;U4YMDb2dVTPMg+H4tjg2aGqHEgTT5XiPToRz4jI//yJOiS1Z6A8JZIYEY7WWEXy2emDijREk7hzK&#10;bPB20ZSMBkGJAryMycrIyKS6BInVKZOCQB71o0qpYYfGJCuO6xFJk7m2YodNHHDcsdgvG+Yxg43z&#10;sutR7tzUIuFw1rJyx3uRhvl8jfb5v2Dx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1n8p/YAAAA&#10;CAEAAA8AAAAAAAAAAQAgAAAAIgAAAGRycy9kb3ducmV2LnhtbFBLAQIUABQAAAAIAIdO4kBqTyh9&#10;HQIAAFMEAAAOAAAAAAAAAAEAIAAAACcBAABkcnMvZTJvRG9jLnhtbFBLBQYAAAAABgAGAFkBAAC2&#10;BQAAAAA=&#10;">
                <v:fill on="t" focussize="0,0"/>
                <v:stroke color="#000000" joinstyle="miter"/>
                <v:imagedata o:title=""/>
                <o:lock v:ext="edit" aspectratio="f"/>
                <v:textbox>
                  <w:txbxContent>
                    <w:p w14:paraId="6F5D0ADF">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发布采购文件征求意见稿</w:t>
                      </w:r>
                    </w:p>
                  </w:txbxContent>
                </v:textbox>
              </v:shape>
            </w:pict>
          </mc:Fallback>
        </mc:AlternateContent>
      </w:r>
    </w:p>
    <w:p w14:paraId="25634BC4">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default" w:ascii="东文宋体" w:hAnsi="东文宋体" w:eastAsia="东文宋体" w:cs="东文宋体"/>
          <w:sz w:val="24"/>
          <w:szCs w:val="24"/>
          <w:highlight w:val="none"/>
          <w:lang w:val="en-US" w:eastAsia="zh-CN"/>
        </w:rPr>
      </w:pPr>
      <w:r>
        <w:rPr>
          <w:rFonts w:hint="eastAsia" w:ascii="东文宋体" w:hAnsi="东文宋体" w:eastAsia="东文宋体" w:cs="东文宋体"/>
          <w:sz w:val="24"/>
          <w:szCs w:val="24"/>
          <w:highlight w:val="none"/>
          <w:lang w:val="en-US" w:eastAsia="zh-CN"/>
        </w:rPr>
        <w:t>↓</w:t>
      </w:r>
    </w:p>
    <w:p w14:paraId="459A3E9F">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default" w:ascii="东文宋体" w:hAnsi="东文宋体" w:eastAsia="东文宋体" w:cs="东文宋体"/>
          <w:sz w:val="24"/>
          <w:szCs w:val="24"/>
          <w:highlight w:val="none"/>
          <w:lang w:val="en-US" w:eastAsia="zh-CN"/>
        </w:rPr>
      </w:pPr>
      <w:r>
        <w:rPr>
          <w:sz w:val="24"/>
          <w:highlight w:val="none"/>
        </w:rPr>
        <mc:AlternateContent>
          <mc:Choice Requires="wps">
            <w:drawing>
              <wp:anchor distT="0" distB="0" distL="114300" distR="114300" simplePos="0" relativeHeight="251661312" behindDoc="1" locked="0" layoutInCell="1" allowOverlap="1">
                <wp:simplePos x="0" y="0"/>
                <wp:positionH relativeFrom="column">
                  <wp:posOffset>1642745</wp:posOffset>
                </wp:positionH>
                <wp:positionV relativeFrom="paragraph">
                  <wp:posOffset>59055</wp:posOffset>
                </wp:positionV>
                <wp:extent cx="2454910" cy="302260"/>
                <wp:effectExtent l="4445" t="4445" r="17145" b="17145"/>
                <wp:wrapNone/>
                <wp:docPr id="2" name="文本框 34"/>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5A1EE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公布采购文件</w:t>
                            </w:r>
                          </w:p>
                          <w:p w14:paraId="14195029">
                            <w:pPr>
                              <w:rPr>
                                <w:rFonts w:hint="eastAsia"/>
                                <w:lang w:eastAsia="zh-CN"/>
                              </w:rPr>
                            </w:pPr>
                          </w:p>
                        </w:txbxContent>
                      </wps:txbx>
                      <wps:bodyPr wrap="square" upright="1"/>
                    </wps:wsp>
                  </a:graphicData>
                </a:graphic>
              </wp:anchor>
            </w:drawing>
          </mc:Choice>
          <mc:Fallback>
            <w:pict>
              <v:shape id="文本框 34" o:spid="_x0000_s1026" o:spt="202" type="#_x0000_t202" style="position:absolute;left:0pt;margin-left:129.35pt;margin-top:4.65pt;height:23.8pt;width:193.3pt;z-index:-251655168;mso-width-relative:page;mso-height-relative:page;" fillcolor="#FFFFFF" filled="t" stroked="t" coordsize="21600,21600" o:gfxdata="UEsDBAoAAAAAAIdO4kAAAAAAAAAAAAAAAAAEAAAAZHJzL1BLAwQUAAAACACHTuJAGey/2tkAAAAI&#10;AQAADwAAAGRycy9kb3ducmV2LnhtbE2PzU7DMBCE70i8g7VIXBB1+pM0CXF6QALBrRQEVzfeJhH2&#10;OsRuWt6e5QS3Wc1o5ttqc3ZWTDiG3pOC+SwBgdR401Or4O314TYHEaImo60nVPCNATb15UWlS+NP&#10;9ILTLraCSyiUWkEX41BKGZoOnQ4zPyCxd/Cj05HPsZVm1Ccud1YukiSTTvfEC50e8L7D5nN3dAry&#10;1dP0EZ6X2/cmO9gi3qynx69RqeureXIHIuI5/oXhF5/RoWamvT+SCcIqWKT5mqMKiiUI9rNVymKv&#10;IM0KkHUl/z9Q/wBQSwMEFAAAAAgAh07iQG23WlseAgAAUwQAAA4AAABkcnMvZTJvRG9jLnhtbK1U&#10;zY7TMBC+I/EOlu9s0my7YqOmK0EpFwRICw8wtZ3Ekv+w3SZ9AXgDTly481x9DsZut3QXDj2QQzL2&#10;jL+Z75tx5nejVmQrfJDWNHRyVVIiDLNcmq6hnz+tXrykJEQwHJQ1oqE7Eejd4vmz+eBqUdneKi48&#10;QRAT6sE1tI/R1UURWC80hCvrhEFna72GiEvfFdzDgOhaFVVZ3hSD9dx5y0QIuLs8OOkR0V8CaNtW&#10;MrG0bKOFiQdULxREpBR66QJd5GrbVrD4oW2DiEQ1FJnG/MYkaK/Tu1jMoe48uF6yYwlwSQlPOGmQ&#10;BpOeoJYQgWy8/AtKS+ZtsG28YlYXByJZEWQxKZ9oc9+DE5kLSh3cSfTw/2DZ++1HTyRvaEWJAY0N&#10;33//tv/xa//zK7meJn0GF2oMu3cYGMdXdsSpedgPuJloj63X6YuECPpR3d1JXTFGwnCzms6mtxN0&#10;MfRdl1V1k+Uv/px2PsS3wmqSjIZ67F4WFbbvQsRKMPQhJCULVkm+kkrlhe/Wr5UnW8BOr/KTisQj&#10;j8KUIUNDb2fVDOsAHN8WxwZN7VCCYLqc79GJcA5c5udfwKmwJYT+UEBGSGFQaxmFz1YvgL8xnMSd&#10;Q5kN3i6aitGCU6IEXsZk5cgIUl0SieyUSUlEHvWjSqlhh8YkK47rEUGTubZ8h00ccNyR7JcNeKxg&#10;47zsepQ7N7VIcThrWbnjvUjDfL5G+/xfsPg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ey/2tkA&#10;AAAIAQAADwAAAAAAAAABACAAAAAiAAAAZHJzL2Rvd25yZXYueG1sUEsBAhQAFAAAAAgAh07iQG23&#10;WlseAgAAUwQAAA4AAAAAAAAAAQAgAAAAKAEAAGRycy9lMm9Eb2MueG1sUEsFBgAAAAAGAAYAWQEA&#10;ALgFAAAAAA==&#10;">
                <v:fill on="t" focussize="0,0"/>
                <v:stroke color="#000000" joinstyle="miter"/>
                <v:imagedata o:title=""/>
                <o:lock v:ext="edit" aspectratio="f"/>
                <v:textbox>
                  <w:txbxContent>
                    <w:p w14:paraId="7B5A1EE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公布采购文件</w:t>
                      </w:r>
                    </w:p>
                    <w:p w14:paraId="14195029">
                      <w:pPr>
                        <w:rPr>
                          <w:rFonts w:hint="eastAsia"/>
                          <w:lang w:eastAsia="zh-CN"/>
                        </w:rPr>
                      </w:pPr>
                    </w:p>
                  </w:txbxContent>
                </v:textbox>
              </v:shape>
            </w:pict>
          </mc:Fallback>
        </mc:AlternateContent>
      </w:r>
    </w:p>
    <w:p w14:paraId="3C2DBD5B">
      <w:pPr>
        <w:keepNext w:val="0"/>
        <w:keepLines w:val="0"/>
        <w:pageBreakBefore w:val="0"/>
        <w:widowControl w:val="0"/>
        <w:tabs>
          <w:tab w:val="left" w:pos="1925"/>
          <w:tab w:val="center" w:pos="5155"/>
        </w:tabs>
        <w:kinsoku/>
        <w:wordWrap/>
        <w:overflowPunct/>
        <w:topLinePunct w:val="0"/>
        <w:autoSpaceDE/>
        <w:autoSpaceDN/>
        <w:bidi w:val="0"/>
        <w:adjustRightInd/>
        <w:snapToGrid/>
        <w:spacing w:line="560" w:lineRule="exact"/>
        <w:ind w:right="508" w:rightChars="231" w:firstLine="4440" w:firstLineChars="1850"/>
        <w:jc w:val="left"/>
        <w:textAlignment w:val="auto"/>
        <w:rPr>
          <w:rFonts w:hint="default" w:eastAsia="仿宋"/>
          <w:sz w:val="24"/>
          <w:szCs w:val="24"/>
          <w:highlight w:val="none"/>
          <w:lang w:val="en-US" w:eastAsia="zh-CN"/>
        </w:rPr>
      </w:pPr>
      <w:r>
        <w:rPr>
          <w:rFonts w:hint="eastAsia" w:ascii="东文宋体" w:hAnsi="东文宋体" w:eastAsia="东文宋体" w:cs="东文宋体"/>
          <w:sz w:val="24"/>
          <w:szCs w:val="24"/>
          <w:highlight w:val="none"/>
          <w:lang w:val="en-US" w:eastAsia="zh-CN"/>
        </w:rPr>
        <w:t>↓</w:t>
      </w:r>
    </w:p>
    <w:p w14:paraId="1265CCE3">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3360" behindDoc="0" locked="0" layoutInCell="1" allowOverlap="1">
                <wp:simplePos x="0" y="0"/>
                <wp:positionH relativeFrom="column">
                  <wp:posOffset>1626870</wp:posOffset>
                </wp:positionH>
                <wp:positionV relativeFrom="paragraph">
                  <wp:posOffset>85090</wp:posOffset>
                </wp:positionV>
                <wp:extent cx="2477770" cy="302260"/>
                <wp:effectExtent l="4445" t="4445" r="13335" b="17145"/>
                <wp:wrapNone/>
                <wp:docPr id="8" name="文本框 35"/>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18D160">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网上申报企业及产品资料</w:t>
                            </w:r>
                          </w:p>
                          <w:p w14:paraId="4FDE3F82">
                            <w:pPr>
                              <w:rPr>
                                <w:rFonts w:hint="default"/>
                                <w:lang w:val="en-US" w:eastAsia="zh-CN"/>
                              </w:rPr>
                            </w:pPr>
                            <w:r>
                              <w:rPr>
                                <w:rFonts w:hint="eastAsia"/>
                                <w:lang w:val="en-US" w:eastAsia="zh-CN"/>
                              </w:rPr>
                              <w:t xml:space="preserve"> </w:t>
                            </w:r>
                          </w:p>
                        </w:txbxContent>
                      </wps:txbx>
                      <wps:bodyPr wrap="square" upright="1"/>
                    </wps:wsp>
                  </a:graphicData>
                </a:graphic>
              </wp:anchor>
            </w:drawing>
          </mc:Choice>
          <mc:Fallback>
            <w:pict>
              <v:shape id="文本框 35" o:spid="_x0000_s1026" o:spt="202" type="#_x0000_t202" style="position:absolute;left:0pt;margin-left:128.1pt;margin-top:6.7pt;height:23.8pt;width:195.1pt;z-index:251663360;mso-width-relative:page;mso-height-relative:page;" fillcolor="#FFFFFF" filled="t" stroked="t" coordsize="21600,21600" o:gfxdata="UEsDBAoAAAAAAIdO4kAAAAAAAAAAAAAAAAAEAAAAZHJzL1BLAwQUAAAACACHTuJAaXuzTtcAAAAJ&#10;AQAADwAAAGRycy9kb3ducmV2LnhtbE2PzU7DMBCE70i8g7VIXBC1kwZTQpwekEBwg4Lg6sbbJMI/&#10;wXbT8vYsJ7jNaj7NzjTro7NsxpjG4BUUCwEMfRfM6HsFb6/3lytgKWtvtA0eFXxjgnV7etLo2oSD&#10;f8F5k3tGIT7VWsGQ81RznroBnU6LMKEnbxei05nO2HMT9YHCneWlEJI7PXr6MOgJ7wbsPjd7p2BV&#10;Pc4f6Wn5/N7Jnb3JF9fzw1dU6vysELfAMh7zHwy/9ak6tNRpG/beJGYVlFeyJJSMZQWMAFlJElsS&#10;hQDeNvz/gvYHUEsDBBQAAAAIAIdO4kAFVV8qHgIAAFMEAAAOAAAAZHJzL2Uyb0RvYy54bWytVM2O&#10;0zAQviPxDpbvNGl2u2KjpitBKRcESAsP4CZOYsl/2G6TvgC8AScu3HmuPgef3W7pLhx6IIdk7Bl/&#10;M98348zvRiXJljsvjK7odJJTwnVtGqG7in7+tHrxkhIfmG6YNJpXdMc9vVs8fzYfbMkL0xvZcEcA&#10;on052Ir2Idgyy3zdc8X8xFiu4WyNUyxg6bqscWwAupJZkec32WBcY52puffYXR6c9IjoLgE0bStq&#10;vjT1RnEdDqiOSxZAyffCerpI1bYtr8OHtvU8EFlRMA3pjSSw1/GdLeas7ByzvaiPJbBLSnjCSTGh&#10;kfQEtWSBkY0Tf0EpUTvjTRsmtVHZgUhSBCym+RNt7ntmeeICqb09ie7/H2z9fvvREdFUFG3XTKHh&#10;++/f9j9+7X9+JVezqM9gfYmwe4vAML4yI6bmYd9jM9IeW6fiF4QI/FB3d1KXj4HU2CyuZ9e3U7hq&#10;+K7yorhJ8md/Tlvnw1tuFIlGRR26l0Rl23c+oBKEPoTEZN5I0ayElGnhuvVr6ciWodOr9MQiceRR&#10;mNRkqOjtrJihDobxbTE2MJWFBF53Kd+jE/4cOE/Pv4BjYUvm+0MBCSGGsVKJwF2yes6aN7ohYWch&#10;s8btorEYxRtKJMdljFaKDEzISyLBTuqYhKdRP6oUG3ZoTLTCuB4BGs21aXZo4oBxB9kvG+ZQwcY6&#10;0fWQOzU1i3GYtaTc8V7EYT5fwz7/F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l7s07XAAAA&#10;CQEAAA8AAAAAAAAAAQAgAAAAIgAAAGRycy9kb3ducmV2LnhtbFBLAQIUABQAAAAIAIdO4kAFVV8q&#10;HgIAAFMEAAAOAAAAAAAAAAEAIAAAACYBAABkcnMvZTJvRG9jLnhtbFBLBQYAAAAABgAGAFkBAAC2&#10;BQAAAAA=&#10;">
                <v:fill on="t" focussize="0,0"/>
                <v:stroke color="#000000" joinstyle="miter"/>
                <v:imagedata o:title=""/>
                <o:lock v:ext="edit" aspectratio="f"/>
                <v:textbox>
                  <w:txbxContent>
                    <w:p w14:paraId="3B18D160">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网上申报企业及产品资料</w:t>
                      </w:r>
                    </w:p>
                    <w:p w14:paraId="4FDE3F82">
                      <w:pPr>
                        <w:rPr>
                          <w:rFonts w:hint="default"/>
                          <w:lang w:val="en-US" w:eastAsia="zh-CN"/>
                        </w:rPr>
                      </w:pPr>
                      <w:r>
                        <w:rPr>
                          <w:rFonts w:hint="eastAsia"/>
                          <w:lang w:val="en-US" w:eastAsia="zh-CN"/>
                        </w:rPr>
                        <w:t xml:space="preserve"> </w:t>
                      </w:r>
                    </w:p>
                  </w:txbxContent>
                </v:textbox>
              </v:shape>
            </w:pict>
          </mc:Fallback>
        </mc:AlternateContent>
      </w:r>
    </w:p>
    <w:p w14:paraId="7D0A30C1">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602F86A4">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4384" behindDoc="0" locked="0" layoutInCell="1" allowOverlap="1">
                <wp:simplePos x="0" y="0"/>
                <wp:positionH relativeFrom="column">
                  <wp:posOffset>1649730</wp:posOffset>
                </wp:positionH>
                <wp:positionV relativeFrom="paragraph">
                  <wp:posOffset>73025</wp:posOffset>
                </wp:positionV>
                <wp:extent cx="2454910" cy="302260"/>
                <wp:effectExtent l="4445" t="4445" r="17145" b="17145"/>
                <wp:wrapNone/>
                <wp:docPr id="9" name="文本框 36"/>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7D5B09">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资质审核</w:t>
                            </w:r>
                          </w:p>
                          <w:p w14:paraId="4993DB14">
                            <w:pPr>
                              <w:rPr>
                                <w:rFonts w:hint="eastAsia"/>
                              </w:rPr>
                            </w:pPr>
                          </w:p>
                        </w:txbxContent>
                      </wps:txbx>
                      <wps:bodyPr wrap="square" upright="1"/>
                    </wps:wsp>
                  </a:graphicData>
                </a:graphic>
              </wp:anchor>
            </w:drawing>
          </mc:Choice>
          <mc:Fallback>
            <w:pict>
              <v:shape id="文本框 36" o:spid="_x0000_s1026" o:spt="202" type="#_x0000_t202" style="position:absolute;left:0pt;margin-left:129.9pt;margin-top:5.75pt;height:23.8pt;width:193.3pt;z-index:251664384;mso-width-relative:page;mso-height-relative:page;" fillcolor="#FFFFFF" filled="t" stroked="t" coordsize="21600,21600" o:gfxdata="UEsDBAoAAAAAAIdO4kAAAAAAAAAAAAAAAAAEAAAAZHJzL1BLAwQUAAAACACHTuJA3mLzLtgAAAAJ&#10;AQAADwAAAGRycy9kb3ducmV2LnhtbE2PwU7DMBBE70j8g7VIXBB1UpLQhDg9IIHgVgqCqxtvk4h4&#10;HWw3LX/PcoLjaEYzb+r1yY5iRh8GRwrSRQICqXVmoE7B2+vD9QpEiJqMHh2hgm8MsG7Oz2pdGXek&#10;F5y3sRNcQqHSCvoYp0rK0PZodVi4CYm9vfNWR5a+k8brI5fbUS6TpJBWD8QLvZ7wvsf2c3uwClbZ&#10;0/wRnm82722xH8t4dTs/fnmlLi/S5A5ExFP8C8MvPqNDw0w7dyATxKhgmZeMHtlIcxAcKLIiA7FT&#10;kJcpyKaW/x80P1BLAwQUAAAACACHTuJAwYdv4x0CAABTBAAADgAAAGRycy9lMm9Eb2MueG1srVTN&#10;jtMwEL4j8Q6W7zRpdrtio6YrQSkXBEgLD+AmTmLJf9huk74AvAEnLtx5rj4Hn91u6S4ceiCHZOwZ&#10;fzPfN+PM70YlyZY7L4yu6HSSU8J1bRqhu4p+/rR68ZISH5humDSaV3THPb1bPH82H2zJC9Mb2XBH&#10;AKJ9OdiK9iHYMst83XPF/MRYruFsjVMsYOm6rHFsALqSWZHnN9lgXGOdqbn32F0enPSI6C4BNG0r&#10;ar409UZxHQ6ojksWQMn3wnq6SNW2La/Dh7b1PBBZUTAN6Y0ksNfxnS3mrOwcs72ojyWwS0p4wkkx&#10;oZH0BLVkgZGNE39BKVE7400bJrVR2YFIUgQspvkTbe57ZnniAqm9PYnu/x9s/X770RHRVPSWEs0U&#10;Gr7//m3/49f+51dydRP1GawvEXZvERjGV2bE1Dzse2xG2mPrVPyCEIEf6u5O6vIxkBqbxfXs+nYK&#10;Vw3fVV4UN0n+7M9p63x4y40i0aioQ/eSqGz7zgdUgtCHkJjMGymalZAyLVy3fi0d2TJ0epWeWCSO&#10;PAqTmgzgOitmqINhfFuMDUxlIYHXXcr36IQ/B87T8y/gWNiS+f5QQEKIYaxUInCXrJ6z5o1uSNhZ&#10;yKxxu2gsRvGGEslxGaOVIgMT8pJIsJM6JuFp1I8qxYYdGhOtMK5HgEZzbZodmjhg3EH2y4Y5VLCx&#10;TnQ95E5NzWIcZi0pd7wXcZjP17DP/wW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5i8y7YAAAA&#10;CQEAAA8AAAAAAAAAAQAgAAAAIgAAAGRycy9kb3ducmV2LnhtbFBLAQIUABQAAAAIAIdO4kDBh2/j&#10;HQIAAFMEAAAOAAAAAAAAAAEAIAAAACcBAABkcnMvZTJvRG9jLnhtbFBLBQYAAAAABgAGAFkBAAC2&#10;BQAAAAA=&#10;">
                <v:fill on="t" focussize="0,0"/>
                <v:stroke color="#000000" joinstyle="miter"/>
                <v:imagedata o:title=""/>
                <o:lock v:ext="edit" aspectratio="f"/>
                <v:textbox>
                  <w:txbxContent>
                    <w:p w14:paraId="677D5B09">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资质审核</w:t>
                      </w:r>
                    </w:p>
                    <w:p w14:paraId="4993DB14">
                      <w:pPr>
                        <w:rPr>
                          <w:rFonts w:hint="eastAsia"/>
                        </w:rPr>
                      </w:pPr>
                    </w:p>
                  </w:txbxContent>
                </v:textbox>
              </v:shape>
            </w:pict>
          </mc:Fallback>
        </mc:AlternateContent>
      </w:r>
    </w:p>
    <w:p w14:paraId="52267A56">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75C9E5C9">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5408" behindDoc="0" locked="0" layoutInCell="1" allowOverlap="1">
                <wp:simplePos x="0" y="0"/>
                <wp:positionH relativeFrom="column">
                  <wp:posOffset>1650365</wp:posOffset>
                </wp:positionH>
                <wp:positionV relativeFrom="paragraph">
                  <wp:posOffset>91440</wp:posOffset>
                </wp:positionV>
                <wp:extent cx="2454910" cy="302260"/>
                <wp:effectExtent l="4445" t="4445" r="17145" b="17145"/>
                <wp:wrapNone/>
                <wp:docPr id="10" name="文本框 37"/>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4E8DD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公示企业及产品申报情况</w:t>
                            </w:r>
                          </w:p>
                          <w:p w14:paraId="039422C1">
                            <w:pPr>
                              <w:jc w:val="center"/>
                              <w:rPr>
                                <w:rFonts w:hint="eastAsia" w:ascii="仿宋_GB2312" w:hAnsi="仿宋_GB2312" w:eastAsia="仿宋_GB2312" w:cs="仿宋_GB2312"/>
                                <w:sz w:val="24"/>
                                <w:szCs w:val="24"/>
                              </w:rPr>
                            </w:pPr>
                          </w:p>
                        </w:txbxContent>
                      </wps:txbx>
                      <wps:bodyPr wrap="square" upright="1"/>
                    </wps:wsp>
                  </a:graphicData>
                </a:graphic>
              </wp:anchor>
            </w:drawing>
          </mc:Choice>
          <mc:Fallback>
            <w:pict>
              <v:shape id="文本框 37" o:spid="_x0000_s1026" o:spt="202" type="#_x0000_t202" style="position:absolute;left:0pt;margin-left:129.95pt;margin-top:7.2pt;height:23.8pt;width:193.3pt;z-index:251665408;mso-width-relative:page;mso-height-relative:page;" fillcolor="#FFFFFF" filled="t" stroked="t" coordsize="21600,21600" o:gfxdata="UEsDBAoAAAAAAIdO4kAAAAAAAAAAAAAAAAAEAAAAZHJzL1BLAwQUAAAACACHTuJAC00Kj9kAAAAJ&#10;AQAADwAAAGRycy9kb3ducmV2LnhtbE2Py07DMBBF90j8gzVIbBC1G9LQhDhdIIFgV0pVtm48TSL8&#10;CLablr9nWMFuRvfozpl6dbaGTRji4J2E+UwAQ9d6PbhOwvb96XYJLCbltDLeoYRvjLBqLi9qVWl/&#10;cm84bVLHqMTFSknoUxorzmPbo1Vx5kd0lB18sCrRGjqugzpRuTU8E6LgVg2OLvRqxMce28/N0UpY&#10;5i/TR3y9W+/a4mDKdHM/PX8FKa+v5uIBWMJz+oPhV5/UoSGnvT86HZmRkC3KklAK8hwYAUVeLIDt&#10;acgE8Kbm/z9ofgBQSwMEFAAAAAgAh07iQHMW7g0dAgAAVAQAAA4AAABkcnMvZTJvRG9jLnhtbK1U&#10;S5LTMBTcU8UdVNoTezyTgXHFmSoIYUMBVQMHUGzZVpV+SErsXABuwIoN+zlXzkFLyYTMwCILvHCe&#10;pVa/1/2eMrsdlSQb7rwwuqIXk5wSrmvTCN1V9Mvn5YtXlPjAdMOk0byiW+7p7fz5s9lgS16Y3siG&#10;OwIS7cvBVrQPwZZZ5uueK+YnxnKNzdY4xQI+XZc1jg1gVzIr8vw6G4xrrDM19x6ri/0mPTC6cwhN&#10;24qaL0y9VlyHPavjkgVI8r2wns5TtW3L6/CxbT0PRFYUSkN6IwniVXxn8xkrO8dsL+pDCeycEp5o&#10;UkxoJD1SLVhgZO3EX1RK1M5404ZJbVS2F5IcgYqL/Ik3dz2zPGmB1d4eTff/j7b+sPnkiGgwCbBE&#10;M4WO73583/283/36Ri5fRoMG60vg7iyQYXxtRoAf1j0Wo+6xdSr+QhHBPri2R3v5GEiNxeJqenUT&#10;09TYu8yL4jr5n/05bZ0P77hRJAYVdWhfcpVt3vuASgB9gMRk3kjRLIWU6cN1qzfSkQ1Dq5fpiUXi&#10;yCOY1GSo6M20mKIOhvltMTcIlYUHXncp36MT/pQ4T8+/iGNhC+b7fQGJIcJYqUTgLkU9Z81b3ZCw&#10;tbBZ43rRWIziDSWS4zbGKCEDE/IcJNRJHZPwNOsHl2LD9o2JURhXI0hjuDLNFk0cMO8Q+3XNHCpY&#10;Wye6HnanpmYRh2FLzh0uRpzm02/Ep38G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LTQqP2QAA&#10;AAkBAAAPAAAAAAAAAAEAIAAAACIAAABkcnMvZG93bnJldi54bWxQSwECFAAUAAAACACHTuJAcxbu&#10;DR0CAABUBAAADgAAAAAAAAABACAAAAAoAQAAZHJzL2Uyb0RvYy54bWxQSwUGAAAAAAYABgBZAQAA&#10;twUAAAAA&#10;">
                <v:fill on="t" focussize="0,0"/>
                <v:stroke color="#000000" joinstyle="miter"/>
                <v:imagedata o:title=""/>
                <o:lock v:ext="edit" aspectratio="f"/>
                <v:textbox>
                  <w:txbxContent>
                    <w:p w14:paraId="2D4E8DD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公示企业及产品申报情况</w:t>
                      </w:r>
                    </w:p>
                    <w:p w14:paraId="039422C1">
                      <w:pPr>
                        <w:jc w:val="center"/>
                        <w:rPr>
                          <w:rFonts w:hint="eastAsia" w:ascii="仿宋_GB2312" w:hAnsi="仿宋_GB2312" w:eastAsia="仿宋_GB2312" w:cs="仿宋_GB2312"/>
                          <w:sz w:val="24"/>
                          <w:szCs w:val="24"/>
                        </w:rPr>
                      </w:pPr>
                    </w:p>
                  </w:txbxContent>
                </v:textbox>
              </v:shape>
            </w:pict>
          </mc:Fallback>
        </mc:AlternateContent>
      </w:r>
    </w:p>
    <w:p w14:paraId="55823495">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ascii="东文宋体" w:hAnsi="东文宋体" w:eastAsia="东文宋体" w:cs="东文宋体"/>
          <w:sz w:val="24"/>
          <w:szCs w:val="24"/>
          <w:highlight w:val="none"/>
        </w:rPr>
      </w:pPr>
      <w:r>
        <w:rPr>
          <w:rFonts w:hint="eastAsia" w:ascii="东文宋体" w:hAnsi="东文宋体" w:eastAsia="东文宋体" w:cs="东文宋体"/>
          <w:sz w:val="24"/>
          <w:szCs w:val="24"/>
          <w:highlight w:val="none"/>
        </w:rPr>
        <w:t>↓</w:t>
      </w:r>
    </w:p>
    <w:p w14:paraId="6DB5886C">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ascii="东文宋体" w:hAnsi="东文宋体" w:eastAsia="东文宋体" w:cs="东文宋体"/>
          <w:sz w:val="24"/>
          <w:szCs w:val="24"/>
          <w:highlight w:val="none"/>
        </w:rPr>
      </w:pPr>
      <w:r>
        <w:rPr>
          <w:sz w:val="24"/>
          <w:highlight w:val="none"/>
        </w:rPr>
        <mc:AlternateContent>
          <mc:Choice Requires="wps">
            <w:drawing>
              <wp:anchor distT="0" distB="0" distL="114300" distR="114300" simplePos="0" relativeHeight="251677696" behindDoc="0" locked="0" layoutInCell="1" allowOverlap="1">
                <wp:simplePos x="0" y="0"/>
                <wp:positionH relativeFrom="column">
                  <wp:posOffset>1668145</wp:posOffset>
                </wp:positionH>
                <wp:positionV relativeFrom="paragraph">
                  <wp:posOffset>23495</wp:posOffset>
                </wp:positionV>
                <wp:extent cx="2454910" cy="302260"/>
                <wp:effectExtent l="6350" t="6350" r="27940" b="21590"/>
                <wp:wrapNone/>
                <wp:docPr id="3" name="文本框 40"/>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6C1BADE">
                            <w:pPr>
                              <w:rPr>
                                <w:rFonts w:hint="eastAsia" w:eastAsia="仿宋_GB2312"/>
                                <w:spacing w:val="-6"/>
                                <w:lang w:val="en-US" w:eastAsia="zh-CN"/>
                              </w:rPr>
                            </w:pPr>
                            <w:r>
                              <w:rPr>
                                <w:rFonts w:hint="eastAsia" w:ascii="仿宋_GB2312" w:hAnsi="仿宋_GB2312" w:eastAsia="仿宋_GB2312" w:cs="仿宋_GB2312"/>
                                <w:spacing w:val="-6"/>
                                <w:sz w:val="24"/>
                                <w:szCs w:val="24"/>
                              </w:rPr>
                              <w:t>公布符合申报条件企业及产品</w:t>
                            </w:r>
                            <w:r>
                              <w:rPr>
                                <w:rFonts w:hint="eastAsia" w:ascii="仿宋_GB2312" w:hAnsi="仿宋_GB2312" w:eastAsia="仿宋_GB2312" w:cs="仿宋_GB2312"/>
                                <w:spacing w:val="-6"/>
                                <w:sz w:val="24"/>
                                <w:szCs w:val="24"/>
                                <w:lang w:eastAsia="zh-CN"/>
                              </w:rPr>
                              <w:t>名单</w:t>
                            </w:r>
                          </w:p>
                        </w:txbxContent>
                      </wps:txbx>
                      <wps:bodyPr wrap="square" upright="1"/>
                    </wps:wsp>
                  </a:graphicData>
                </a:graphic>
              </wp:anchor>
            </w:drawing>
          </mc:Choice>
          <mc:Fallback>
            <w:pict>
              <v:shape id="文本框 40" o:spid="_x0000_s1026" o:spt="202" type="#_x0000_t202" style="position:absolute;left:0pt;margin-left:131.35pt;margin-top:1.85pt;height:23.8pt;width:193.3pt;z-index:251677696;mso-width-relative:page;mso-height-relative:page;" fillcolor="#FFFFFF" filled="t" stroked="t" coordsize="21600,21600" o:gfxdata="UEsDBAoAAAAAAIdO4kAAAAAAAAAAAAAAAAAEAAAAZHJzL1BLAwQUAAAACACHTuJA9FtaktkAAAAI&#10;AQAADwAAAGRycy9kb3ducmV2LnhtbE2PzU7DMBCE70i8g7VIXBB1fkrahjg9IIHgBgW1VzfeJhHx&#10;OthuWt6e5QSn0WpGM99W67MdxIQ+9I4UpLMEBFLjTE+tgo/3x9sliBA1GT04QgXfGGBdX15UujTu&#10;RG84bWIruIRCqRV0MY6llKHp0OowcyMSewfnrY58+lYar09cbgeZJUkhre6JFzo94kOHzefmaBUs&#10;58/TLrzkr9umOAyreLOYnr68UtdXaXIPIuI5/oXhF5/RoWamvTuSCWJQkBXZgqMKchb2i/kqB7FX&#10;cJfmIOtK/n+g/gFQSwMEFAAAAAgAh07iQCcTGJUdAgAAUwQAAA4AAABkcnMvZTJvRG9jLnhtbK1U&#10;zY7TMBC+I/EOlu9s2my7YqumK0EpFwRICw/gOk5iyX/YbpO+ALwBJy7cea4+B5/d0u0uHHogh2Ts&#10;GX8z3zfjzO8GrchW+CCtqej4akSJMNzW0rQV/fxp9eIlJSEyUzNljajoTgR6t3j+bN67mShtZ1Ut&#10;PAGICbPeVbSL0c2KIvBOaBaurBMGzsZ6zSKWvi1qz3qga1WUo9FN0VtfO2+5CAG7y4OTHhH9JYC2&#10;aSQXS8s3Wph4QPVCsQhKoZMu0EWutmkEjx+aJohIVEXBNOY3ksBep3exmLNZ65nrJD+WwC4p4Qkn&#10;zaRB0hPUkkVGNl7+BaUl9zbYJl5xq4sDkawIWIxHT7S575gTmQukDu4kevh/sPz99qMnsq7oNSWG&#10;aTR8//3b/sev/c+vZJL16V2YIezeITAOr+yAqUm6pf2AzUR7aLxOXxAi8EPd3UldMUTCsVlOppPb&#10;MVwcvutRWd5k+OLhtPMhvhVWk2RU1KN7WVS2fRciMiL0T0hKFqyS9UoqlRe+Xb9WnmwZOr3KTyoS&#10;Rx6FKUP6it5OyynqYBjfBmMDUztIEEyb8z06Ec6BR/n5F3AqbMlCdyggIxyGS8sofB6zTrD6jalJ&#10;3DnIbHC7aCpGi5oSJXAZk5UjI5PqkkiwUyaxF3nUjyo9NCZZcVgPAE3m2tY7NLHHuIPslw3zqGDj&#10;vGw7yJ2bWqQ4zFpW7ngv0jCfr2Gf/ws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0W1qS2QAA&#10;AAgBAAAPAAAAAAAAAAEAIAAAACIAAABkcnMvZG93bnJldi54bWxQSwECFAAUAAAACACHTuJAJxMY&#10;lR0CAABTBAAADgAAAAAAAAABACAAAAAoAQAAZHJzL2Uyb0RvYy54bWxQSwUGAAAAAAYABgBZAQAA&#10;twUAAAAA&#10;">
                <v:fill on="t" focussize="0,0"/>
                <v:stroke color="#000000" joinstyle="miter"/>
                <v:imagedata o:title=""/>
                <o:lock v:ext="edit" aspectratio="f"/>
                <v:textbox>
                  <w:txbxContent>
                    <w:p w14:paraId="16C1BADE">
                      <w:pPr>
                        <w:rPr>
                          <w:rFonts w:hint="eastAsia" w:eastAsia="仿宋_GB2312"/>
                          <w:spacing w:val="-6"/>
                          <w:lang w:val="en-US" w:eastAsia="zh-CN"/>
                        </w:rPr>
                      </w:pPr>
                      <w:r>
                        <w:rPr>
                          <w:rFonts w:hint="eastAsia" w:ascii="仿宋_GB2312" w:hAnsi="仿宋_GB2312" w:eastAsia="仿宋_GB2312" w:cs="仿宋_GB2312"/>
                          <w:spacing w:val="-6"/>
                          <w:sz w:val="24"/>
                          <w:szCs w:val="24"/>
                        </w:rPr>
                        <w:t>公布符合申报条件企业及产品</w:t>
                      </w:r>
                      <w:r>
                        <w:rPr>
                          <w:rFonts w:hint="eastAsia" w:ascii="仿宋_GB2312" w:hAnsi="仿宋_GB2312" w:eastAsia="仿宋_GB2312" w:cs="仿宋_GB2312"/>
                          <w:spacing w:val="-6"/>
                          <w:sz w:val="24"/>
                          <w:szCs w:val="24"/>
                          <w:lang w:eastAsia="zh-CN"/>
                        </w:rPr>
                        <w:t>名单</w:t>
                      </w:r>
                    </w:p>
                  </w:txbxContent>
                </v:textbox>
              </v:shape>
            </w:pict>
          </mc:Fallback>
        </mc:AlternateContent>
      </w:r>
    </w:p>
    <w:p w14:paraId="51D0A3D9">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ascii="东文宋体" w:hAnsi="东文宋体" w:eastAsia="东文宋体" w:cs="东文宋体"/>
          <w:sz w:val="24"/>
          <w:szCs w:val="24"/>
          <w:highlight w:val="none"/>
        </w:rPr>
      </w:pPr>
      <w:r>
        <w:rPr>
          <w:rFonts w:hint="eastAsia" w:ascii="东文宋体" w:hAnsi="东文宋体" w:eastAsia="东文宋体" w:cs="东文宋体"/>
          <w:sz w:val="24"/>
          <w:szCs w:val="24"/>
          <w:highlight w:val="none"/>
          <w:lang w:eastAsia="zh-CN"/>
        </w:rPr>
        <w:t>↓</w:t>
      </w:r>
    </w:p>
    <w:p w14:paraId="7140B2BA">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default" w:eastAsia="宋体"/>
          <w:sz w:val="24"/>
          <w:szCs w:val="24"/>
          <w:highlight w:val="none"/>
          <w:lang w:val="en-US" w:eastAsia="zh-CN"/>
        </w:rPr>
      </w:pPr>
      <w:r>
        <w:rPr>
          <w:sz w:val="24"/>
          <w:highlight w:val="none"/>
        </w:rPr>
        <mc:AlternateContent>
          <mc:Choice Requires="wps">
            <w:drawing>
              <wp:anchor distT="0" distB="0" distL="114300" distR="114300" simplePos="0" relativeHeight="251666432" behindDoc="0" locked="0" layoutInCell="1" allowOverlap="1">
                <wp:simplePos x="0" y="0"/>
                <wp:positionH relativeFrom="column">
                  <wp:posOffset>1670685</wp:posOffset>
                </wp:positionH>
                <wp:positionV relativeFrom="paragraph">
                  <wp:posOffset>41275</wp:posOffset>
                </wp:positionV>
                <wp:extent cx="2454910" cy="302260"/>
                <wp:effectExtent l="4445" t="4445" r="17145" b="17145"/>
                <wp:wrapNone/>
                <wp:docPr id="13" name="文本框 40"/>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6D10D4">
                            <w:pPr>
                              <w:jc w:val="center"/>
                              <w:rPr>
                                <w:rFonts w:hint="default" w:eastAsia="仿宋_GB2312"/>
                                <w:lang w:val="en-US" w:eastAsia="zh-CN"/>
                              </w:rPr>
                            </w:pPr>
                            <w:r>
                              <w:rPr>
                                <w:rFonts w:hint="eastAsia" w:ascii="仿宋_GB2312" w:hAnsi="仿宋_GB2312" w:eastAsia="仿宋_GB2312" w:cs="仿宋_GB2312"/>
                                <w:sz w:val="24"/>
                                <w:szCs w:val="24"/>
                                <w:lang w:eastAsia="zh-CN"/>
                              </w:rPr>
                              <w:t>报价</w:t>
                            </w:r>
                            <w:r>
                              <w:rPr>
                                <w:rFonts w:hint="eastAsia" w:ascii="仿宋_GB2312" w:hAnsi="仿宋_GB2312" w:eastAsia="仿宋_GB2312" w:cs="仿宋_GB2312"/>
                                <w:sz w:val="24"/>
                                <w:szCs w:val="24"/>
                                <w:lang w:val="en-US" w:eastAsia="zh-CN"/>
                              </w:rPr>
                              <w:t>产生拟中选结果</w:t>
                            </w:r>
                          </w:p>
                        </w:txbxContent>
                      </wps:txbx>
                      <wps:bodyPr wrap="square" upright="1"/>
                    </wps:wsp>
                  </a:graphicData>
                </a:graphic>
              </wp:anchor>
            </w:drawing>
          </mc:Choice>
          <mc:Fallback>
            <w:pict>
              <v:shape id="文本框 40" o:spid="_x0000_s1026" o:spt="202" type="#_x0000_t202" style="position:absolute;left:0pt;margin-left:131.55pt;margin-top:3.25pt;height:23.8pt;width:193.3pt;z-index:251666432;mso-width-relative:page;mso-height-relative:page;" fillcolor="#FFFFFF" filled="t" stroked="t" coordsize="21600,21600" o:gfxdata="UEsDBAoAAAAAAIdO4kAAAAAAAAAAAAAAAAAEAAAAZHJzL1BLAwQUAAAACACHTuJArQAn0NkAAAAI&#10;AQAADwAAAGRycy9kb3ducmV2LnhtbE2PMU/DMBSEdyT+g/WQWBB10qZuG+J0QALBVkpVVjd+TSLs&#10;52C7afn3mAnG053uvqvWF2vYiD70jiTkkwwYUuN0T62E3fvT/RJYiIq0Mo5QwjcGWNfXV5UqtTvT&#10;G47b2LJUQqFUEroYh5Lz0HRoVZi4ASl5R+etikn6lmuvzqncGj7NMsGt6iktdGrAxw6bz+3JSlgW&#10;L+NHeJ1t9o04mlW8W4zPX17K25s8ewAW8RL/wvCLn9ChTkwHdyIdmJEwFbM8RSWIObDki2K1AHaQ&#10;MC9y4HXF/x+ofwBQSwMEFAAAAAgAh07iQK+MOrsdAgAAVAQAAA4AAABkcnMvZTJvRG9jLnhtbK1U&#10;zY7TMBC+I/EOlu9s2my7YqumK0EpFwRICw/gOk5iyX/YbpO+ALwBJy7cea4+B5/d0u0uHHogh2Ts&#10;GX8z3zfjzO8GrchW+CCtqej4akSJMNzW0rQV/fxp9eIlJSEyUzNljajoTgR6t3j+bN67mShtZ1Ut&#10;PAGICbPeVbSL0c2KIvBOaBaurBMGzsZ6zSKWvi1qz3qga1WUo9FN0VtfO2+5CAG7y4OTHhH9JYC2&#10;aSQXS8s3Wph4QPVCsQhKoZMu0EWutmkEjx+aJohIVEXBNOY3ksBep3exmLNZ65nrJD+WwC4p4Qkn&#10;zaRB0hPUkkVGNl7+BaUl9zbYJl5xq4sDkawIWIxHT7S575gTmQukDu4kevh/sPz99qMnssYkXFNi&#10;mEbH99+/7X/82v/8SiZZoN6FGeLuHSLj8MoOCE7Cpf2AzcR7aLxOXzAi8EPe3UleMUTCsVlOppPb&#10;MVwcvutRWd5k+OLhtPMhvhVWk2RU1KN9WVW2fRciMiL0T0hKFqyS9UoqlRe+Xb9WnmwZWr3KTyoS&#10;Rx6FKUP6it5OyynqYJjfBnMDUztoEEyb8z06Ec6BR/n5F3AqbMlCdyggIxymS8sofJ6zTrD6jalJ&#10;3DnIbHC9aCpGi5oSJXAbk5UjI5PqkkiwUyaxF3nWjyo9NCZZcVgPAE3m2tY7NLHHvIPslw3zqGDj&#10;vGw7yJ2bWqQ4DFtW7ngx0jSfr2Gf/ww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ACfQ2QAA&#10;AAgBAAAPAAAAAAAAAAEAIAAAACIAAABkcnMvZG93bnJldi54bWxQSwECFAAUAAAACACHTuJAr4w6&#10;ux0CAABUBAAADgAAAAAAAAABACAAAAAoAQAAZHJzL2Uyb0RvYy54bWxQSwUGAAAAAAYABgBZAQAA&#10;twUAAAAA&#10;">
                <v:fill on="t" focussize="0,0"/>
                <v:stroke color="#000000" joinstyle="miter"/>
                <v:imagedata o:title=""/>
                <o:lock v:ext="edit" aspectratio="f"/>
                <v:textbox>
                  <w:txbxContent>
                    <w:p w14:paraId="0B6D10D4">
                      <w:pPr>
                        <w:jc w:val="center"/>
                        <w:rPr>
                          <w:rFonts w:hint="default" w:eastAsia="仿宋_GB2312"/>
                          <w:lang w:val="en-US" w:eastAsia="zh-CN"/>
                        </w:rPr>
                      </w:pPr>
                      <w:r>
                        <w:rPr>
                          <w:rFonts w:hint="eastAsia" w:ascii="仿宋_GB2312" w:hAnsi="仿宋_GB2312" w:eastAsia="仿宋_GB2312" w:cs="仿宋_GB2312"/>
                          <w:sz w:val="24"/>
                          <w:szCs w:val="24"/>
                          <w:lang w:eastAsia="zh-CN"/>
                        </w:rPr>
                        <w:t>报价</w:t>
                      </w:r>
                      <w:r>
                        <w:rPr>
                          <w:rFonts w:hint="eastAsia" w:ascii="仿宋_GB2312" w:hAnsi="仿宋_GB2312" w:eastAsia="仿宋_GB2312" w:cs="仿宋_GB2312"/>
                          <w:sz w:val="24"/>
                          <w:szCs w:val="24"/>
                          <w:lang w:val="en-US" w:eastAsia="zh-CN"/>
                        </w:rPr>
                        <w:t>产生拟中选结果</w:t>
                      </w:r>
                    </w:p>
                  </w:txbxContent>
                </v:textbox>
              </v:shape>
            </w:pict>
          </mc:Fallback>
        </mc:AlternateContent>
      </w:r>
    </w:p>
    <w:p w14:paraId="3CCEF06E">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eastAsia="宋体"/>
          <w:sz w:val="24"/>
          <w:szCs w:val="24"/>
          <w:highlight w:val="none"/>
          <w:lang w:eastAsia="zh-CN"/>
        </w:rPr>
      </w:pPr>
      <w:r>
        <w:rPr>
          <w:rFonts w:hint="eastAsia" w:ascii="东文宋体" w:hAnsi="东文宋体" w:eastAsia="东文宋体" w:cs="东文宋体"/>
          <w:sz w:val="24"/>
          <w:szCs w:val="24"/>
          <w:highlight w:val="none"/>
          <w:lang w:eastAsia="zh-CN"/>
        </w:rPr>
        <w:t>↓</w:t>
      </w:r>
    </w:p>
    <w:p w14:paraId="3E60DE36">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7456" behindDoc="0" locked="0" layoutInCell="1" allowOverlap="1">
                <wp:simplePos x="0" y="0"/>
                <wp:positionH relativeFrom="column">
                  <wp:posOffset>1659255</wp:posOffset>
                </wp:positionH>
                <wp:positionV relativeFrom="paragraph">
                  <wp:posOffset>32385</wp:posOffset>
                </wp:positionV>
                <wp:extent cx="2454910" cy="302260"/>
                <wp:effectExtent l="4445" t="4445" r="17145" b="17145"/>
                <wp:wrapNone/>
                <wp:docPr id="14" name="文本框 41"/>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4BA3F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公示拟中选结果</w:t>
                            </w:r>
                          </w:p>
                          <w:p w14:paraId="7034799C">
                            <w:pPr>
                              <w:jc w:val="center"/>
                            </w:pPr>
                          </w:p>
                        </w:txbxContent>
                      </wps:txbx>
                      <wps:bodyPr wrap="square" upright="1"/>
                    </wps:wsp>
                  </a:graphicData>
                </a:graphic>
              </wp:anchor>
            </w:drawing>
          </mc:Choice>
          <mc:Fallback>
            <w:pict>
              <v:shape id="文本框 41" o:spid="_x0000_s1026" o:spt="202" type="#_x0000_t202" style="position:absolute;left:0pt;margin-left:130.65pt;margin-top:2.55pt;height:23.8pt;width:193.3pt;z-index:251667456;mso-width-relative:page;mso-height-relative:page;" fillcolor="#FFFFFF" filled="t" stroked="t" coordsize="21600,21600" o:gfxdata="UEsDBAoAAAAAAIdO4kAAAAAAAAAAAAAAAAAEAAAAZHJzL1BLAwQUAAAACACHTuJARQFWB9gAAAAI&#10;AQAADwAAAGRycy9kb3ducmV2LnhtbE2PwU7DMBBE70j8g7VIXBB1kpakDXF6QALBDQpqr268TSLi&#10;dbDdtPw9ywmOoxnNvKnWZzuICX3oHSlIZwkIpMaZnloFH++Pt0sQIWoyenCECr4xwLq+vKh0adyJ&#10;3nDaxFZwCYVSK+hiHEspQ9Oh1WHmRiT2Ds5bHVn6VhqvT1xuB5klSS6t7okXOj3iQ4fN5+ZoFSwX&#10;z9MuvMxft01+GFbxppievrxS11dpcg8i4jn+heEXn9GhZqa9O5IJYlCQ5emcowruUhDs54tiBWLP&#10;OitA1pX8f6D+AVBLAwQUAAAACACHTuJAgo5VDh4CAABUBAAADgAAAGRycy9lMm9Eb2MueG1srVTN&#10;jtMwEL4j8Q6W72zS0K7YqOlKUMoFAdLCA7iJk1jyH7bbpC8Ab8CJC3eeq8+xn91u6S4ceiCHZOwZ&#10;fzPfN+PMb0clyZY7L4yu6OQqp4Tr2jRCdxX98nn14hUlPjDdMGk0r+iOe3q7eP5sPtiSF6Y3suGO&#10;AET7crAV7UOwZZb5uueK+StjuYazNU6xgKXrssaxAehKZkWeX2eDcY11pubeY3d5cNIjorsE0LSt&#10;qPnS1BvFdTigOi5ZACXfC+vpIlXbtrwOH9vW80BkRcE0pDeSwF7Hd7aYs7JzzPaiPpbALinhCSfF&#10;hEbSE9SSBUY2TvwFpUTtjDdtuKqNyg5EkiJgMcmfaHPXM8sTF0jt7Ul0//9g6w/bT46IBpMwpUQz&#10;hY7vf3zf//y9//WNTCdRoMH6EnF3FpFhfG1GBD/se2xG3mPrVPyCEYEf8u5O8vIxkBqbxXQ2vZnA&#10;VcP3Mi+K66R/9ue0dT6840aRaFTUoX1JVbZ97wMqQehDSEzmjRTNSkiZFq5bv5GObBlavUpPLBJH&#10;HoVJTYaK3syKGepgmN8WcwNTWWjgdZfyPTrhz4Hz9PwLOBa2ZL4/FJAQYhgrlQjcJavnrHmrGxJ2&#10;FjJrXC8ai1G8oURy3MZopcjAhLwkEuykjkl4mvWjSrFhh8ZEK4zrEaDRXJtmhyYOmHeQ/bphDhVs&#10;rBNdD7lTU7MYh2FLyh0vRpzm8zXs85/B4h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FAVYH2AAA&#10;AAgBAAAPAAAAAAAAAAEAIAAAACIAAABkcnMvZG93bnJldi54bWxQSwECFAAUAAAACACHTuJAgo5V&#10;Dh4CAABUBAAADgAAAAAAAAABACAAAAAnAQAAZHJzL2Uyb0RvYy54bWxQSwUGAAAAAAYABgBZAQAA&#10;twUAAAAA&#10;">
                <v:fill on="t" focussize="0,0"/>
                <v:stroke color="#000000" joinstyle="miter"/>
                <v:imagedata o:title=""/>
                <o:lock v:ext="edit" aspectratio="f"/>
                <v:textbox>
                  <w:txbxContent>
                    <w:p w14:paraId="154BA3F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公示拟中选结果</w:t>
                      </w:r>
                    </w:p>
                    <w:p w14:paraId="7034799C">
                      <w:pPr>
                        <w:jc w:val="center"/>
                      </w:pPr>
                    </w:p>
                  </w:txbxContent>
                </v:textbox>
              </v:shape>
            </w:pict>
          </mc:Fallback>
        </mc:AlternateContent>
      </w:r>
    </w:p>
    <w:p w14:paraId="11951FD0">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35E2EA29">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8480" behindDoc="0" locked="0" layoutInCell="1" allowOverlap="1">
                <wp:simplePos x="0" y="0"/>
                <wp:positionH relativeFrom="column">
                  <wp:posOffset>1650365</wp:posOffset>
                </wp:positionH>
                <wp:positionV relativeFrom="paragraph">
                  <wp:posOffset>59690</wp:posOffset>
                </wp:positionV>
                <wp:extent cx="2454910" cy="301625"/>
                <wp:effectExtent l="4445" t="4445" r="17145" b="17780"/>
                <wp:wrapNone/>
                <wp:docPr id="15" name="文本框 42"/>
                <wp:cNvGraphicFramePr/>
                <a:graphic xmlns:a="http://schemas.openxmlformats.org/drawingml/2006/main">
                  <a:graphicData uri="http://schemas.microsoft.com/office/word/2010/wordprocessingShape">
                    <wps:wsp>
                      <wps:cNvSpPr txBox="1"/>
                      <wps:spPr>
                        <a:xfrm>
                          <a:off x="0" y="0"/>
                          <a:ext cx="2454910" cy="301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298C8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公布中选结果</w:t>
                            </w:r>
                          </w:p>
                          <w:p w14:paraId="0292966D">
                            <w:pPr>
                              <w:jc w:val="center"/>
                            </w:pPr>
                          </w:p>
                        </w:txbxContent>
                      </wps:txbx>
                      <wps:bodyPr wrap="square" upright="1"/>
                    </wps:wsp>
                  </a:graphicData>
                </a:graphic>
              </wp:anchor>
            </w:drawing>
          </mc:Choice>
          <mc:Fallback>
            <w:pict>
              <v:shape id="文本框 42" o:spid="_x0000_s1026" o:spt="202" type="#_x0000_t202" style="position:absolute;left:0pt;margin-left:129.95pt;margin-top:4.7pt;height:23.75pt;width:193.3pt;z-index:251668480;mso-width-relative:page;mso-height-relative:page;" fillcolor="#FFFFFF" filled="t" stroked="t" coordsize="21600,21600" o:gfxdata="UEsDBAoAAAAAAIdO4kAAAAAAAAAAAAAAAAAEAAAAZHJzL1BLAwQUAAAACACHTuJAsiC1DtgAAAAI&#10;AQAADwAAAGRycy9kb3ducmV2LnhtbE2PMU/DMBSEdyT+g/WQWBB1WhJThzgdkECwlVKV1U1ekwj7&#10;OdhuWv49ZoLxdKe776rV2Ro2oQ+DIwXzWQYMqXHtQJ2C7fvT7RJYiJpabRyhgm8MsKovLypdtu5E&#10;bzhtYsdSCYVSK+hjHEvOQ9Oj1WHmRqTkHZy3OibpO956fUrl1vBFlglu9UBpodcjPvbYfG6OVsEy&#10;f5k+wuvdeteIg5Hx5n56/vJKXV/NswdgEc/xLwy/+Akd6sS0d0dqAzMKFoWUKapA5sCSL3JRANsr&#10;KIQEXlf8/4H6B1BLAwQUAAAACACHTuJAMmDabhsCAABUBAAADgAAAGRycy9lMm9Eb2MueG1srVTN&#10;jtMwEL4j8Q6W72zS0q7YqOlKUMoFAdLCA7j2JLHkP2y3SV8A3oATF+48V59jx063dBcOPZBDMvZ8&#10;/mbmm3EWt4NWZAc+SGtqOrkqKQHDrZCmremXz+sXrygJkRnBlDVQ0z0Eert8/mzRuwqmtrNKgCdI&#10;YkLVu5p2MbqqKALvQLNwZR0YdDbWaxZx6dtCeNYju1bFtCyvi9564bzlEALurkYnPTL6Swht00gO&#10;K8u3GkwcWT0oFrGk0EkX6DJn2zTA48emCRCJqilWGvMbg6C9Se9iuWBV65nrJD+mwC5J4UlNmkmD&#10;QU9UKxYZ2Xr5F5WW3Ntgm3jFrS7GQrIiWMWkfKLNXccc5FpQ6uBOoof/R8s/7D55IgVOwpwSwzR2&#10;/PDj++Hn78Ovb2Q2TQL1LlSIu3OIjMNrOyD4YT/gZqp7aLxOX6yIoB/l3Z/khSESjpvT2Xx2M0EX&#10;R9/LcnI9nSea4s9p50N8B1aTZNTUY/uyqmz3PsQR+gBJwYJVUqylUnnh280b5cmOYavX+TmyP4Ip&#10;Q/qa3swxNuEM57fBuUFTO9QgmDbHe3QinBOX+fkXcUpsxUI3JpAZEoxVWkbw2eqAibdGkLh3KLPB&#10;60VTMhoEJQrwNiYrIyOT6hIkaqdMCgJ51o8qpYaNjUlWHDYDkiZzY8Uem9jjvGOxX7fMYwZb52Xb&#10;ody5qUXC4bDlvhwvRprm8zXa5z+D5T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yILUO2AAAAAgB&#10;AAAPAAAAAAAAAAEAIAAAACIAAABkcnMvZG93bnJldi54bWxQSwECFAAUAAAACACHTuJAMmDabhsC&#10;AABUBAAADgAAAAAAAAABACAAAAAnAQAAZHJzL2Uyb0RvYy54bWxQSwUGAAAAAAYABgBZAQAAtAUA&#10;AAAA&#10;">
                <v:fill on="t" focussize="0,0"/>
                <v:stroke color="#000000" joinstyle="miter"/>
                <v:imagedata o:title=""/>
                <o:lock v:ext="edit" aspectratio="f"/>
                <v:textbox>
                  <w:txbxContent>
                    <w:p w14:paraId="0D298C8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公布中选结果</w:t>
                      </w:r>
                    </w:p>
                    <w:p w14:paraId="0292966D">
                      <w:pPr>
                        <w:jc w:val="center"/>
                      </w:pPr>
                    </w:p>
                  </w:txbxContent>
                </v:textbox>
              </v:shape>
            </w:pict>
          </mc:Fallback>
        </mc:AlternateContent>
      </w:r>
    </w:p>
    <w:p w14:paraId="3F255E7B">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08C3C885">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69504" behindDoc="0" locked="0" layoutInCell="1" allowOverlap="1">
                <wp:simplePos x="0" y="0"/>
                <wp:positionH relativeFrom="column">
                  <wp:posOffset>1642110</wp:posOffset>
                </wp:positionH>
                <wp:positionV relativeFrom="paragraph">
                  <wp:posOffset>46355</wp:posOffset>
                </wp:positionV>
                <wp:extent cx="2454910" cy="302260"/>
                <wp:effectExtent l="4445" t="4445" r="17145" b="17145"/>
                <wp:wrapNone/>
                <wp:docPr id="16" name="文本框 43"/>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3B0F54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分配确认协议采购量</w:t>
                            </w:r>
                          </w:p>
                          <w:p w14:paraId="601989BD">
                            <w:pPr>
                              <w:jc w:val="center"/>
                            </w:pPr>
                          </w:p>
                        </w:txbxContent>
                      </wps:txbx>
                      <wps:bodyPr wrap="square" upright="1"/>
                    </wps:wsp>
                  </a:graphicData>
                </a:graphic>
              </wp:anchor>
            </w:drawing>
          </mc:Choice>
          <mc:Fallback>
            <w:pict>
              <v:shape id="文本框 43" o:spid="_x0000_s1026" o:spt="202" type="#_x0000_t202" style="position:absolute;left:0pt;margin-left:129.3pt;margin-top:3.65pt;height:23.8pt;width:193.3pt;z-index:251669504;mso-width-relative:page;mso-height-relative:page;" fillcolor="#FFFFFF" filled="t" stroked="t" coordsize="21600,21600" o:gfxdata="UEsDBAoAAAAAAIdO4kAAAAAAAAAAAAAAAAAEAAAAZHJzL1BLAwQUAAAACACHTuJAkaSKUdkAAAAI&#10;AQAADwAAAGRycy9kb3ducmV2LnhtbE2PMU/DMBSEdyT+g/WQWBB1miZpGuJ0QALBVkpVVjd+TSLs&#10;52C7afn3mAnG053uvqvXF6PZhM4PlgTMZwkwpNaqgToBu/en+xKYD5KU1JZQwDd6WDfXV7WslD3T&#10;G07b0LFYQr6SAvoQxopz3/ZopJ/ZESl6R+uMDFG6jisnz7HcaJ4mScGNHCgu9HLExx7bz+3JCCiz&#10;l+nDvy42+7Y46lW4W07PX06I25t58gAs4CX8heEXP6JDE5kO9kTKMy0gzcsiRgUsF8CiX2R5Cuwg&#10;IM9WwJua/z/Q/ABQSwMEFAAAAAgAh07iQBI38hQeAgAAVAQAAA4AAABkcnMvZTJvRG9jLnhtbK1U&#10;zY7TMBC+I/EOlu80abat2KjpSlDKBQHSwgO4idNY8h+226QvAG/AiQt3nqvPwWe3W7oLhx7IIRl7&#10;xt/M980487tBSbLjzgujKzoe5ZRwXZtG6E1FP39avXhJiQ9MN0wazSu6557eLZ4/m/e25IXpjGy4&#10;IwDRvuxtRbsQbJllvu64Yn5kLNdwtsYpFrB0m6xxrAe6klmR57OsN66xztTce+wuj056QnTXAJq2&#10;FTVfmnqruA5HVMclC6DkO2E9XaRq25bX4UPbeh6IrCiYhvRGEtjr+M4Wc1ZuHLOdqE8lsGtKeMJJ&#10;MaGR9Ay1ZIGRrRN/QSlRO+NNG0a1UdmRSFIELMb5E23uO2Z54gKpvT2L7v8fbP1+99ER0WASZpRo&#10;ptDxw/dvhx+/Dj+/kslNFKi3vkTcvUVkGF6ZAcEP+x6bkffQOhW/YETgh7z7s7x8CKTGZjGZTm7H&#10;cNXw3eRFMUv6Z39OW+fDW24UiUZFHdqXVGW7dz6gEoQ+hMRk3kjRrISUaeE269fSkR1Dq1fpiUXi&#10;yKMwqUlf0dtpMUUdDPPbYm5gKgsNvN6kfI9O+EvgPD3/Ao6FLZnvjgUkhBjGSiUCd8nqOGve6IaE&#10;vYXMGteLxmIUbyiRHLcxWikyMCGviQQ7qWMSnmb9pFJs2LEx0QrDegBoNNem2aOJPeYdZL9smUMF&#10;W+vEpoPcqalZjMOwJeVOFyNO8+Ua9uXPYP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aSKUdkA&#10;AAAIAQAADwAAAAAAAAABACAAAAAiAAAAZHJzL2Rvd25yZXYueG1sUEsBAhQAFAAAAAgAh07iQBI3&#10;8hQeAgAAVAQAAA4AAAAAAAAAAQAgAAAAKAEAAGRycy9lMm9Eb2MueG1sUEsFBgAAAAAGAAYAWQEA&#10;ALgFAAAAAA==&#10;">
                <v:fill on="t" focussize="0,0"/>
                <v:stroke color="#000000" joinstyle="miter"/>
                <v:imagedata o:title=""/>
                <o:lock v:ext="edit" aspectratio="f"/>
                <v:textbox>
                  <w:txbxContent>
                    <w:p w14:paraId="43B0F54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分配确认协议采购量</w:t>
                      </w:r>
                    </w:p>
                    <w:p w14:paraId="601989BD">
                      <w:pPr>
                        <w:jc w:val="center"/>
                      </w:pPr>
                    </w:p>
                  </w:txbxContent>
                </v:textbox>
              </v:shape>
            </w:pict>
          </mc:Fallback>
        </mc:AlternateContent>
      </w:r>
    </w:p>
    <w:p w14:paraId="79057F35">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0AEB2B95">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70528" behindDoc="0" locked="0" layoutInCell="1" allowOverlap="1">
                <wp:simplePos x="0" y="0"/>
                <wp:positionH relativeFrom="column">
                  <wp:posOffset>1634490</wp:posOffset>
                </wp:positionH>
                <wp:positionV relativeFrom="paragraph">
                  <wp:posOffset>57150</wp:posOffset>
                </wp:positionV>
                <wp:extent cx="2454910" cy="302260"/>
                <wp:effectExtent l="4445" t="4445" r="17145" b="17145"/>
                <wp:wrapNone/>
                <wp:docPr id="17" name="文本框 44"/>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AAC94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确认配送关系</w:t>
                            </w:r>
                          </w:p>
                          <w:p w14:paraId="24EED874">
                            <w:pPr>
                              <w:jc w:val="center"/>
                            </w:pPr>
                          </w:p>
                        </w:txbxContent>
                      </wps:txbx>
                      <wps:bodyPr wrap="square" upright="1"/>
                    </wps:wsp>
                  </a:graphicData>
                </a:graphic>
              </wp:anchor>
            </w:drawing>
          </mc:Choice>
          <mc:Fallback>
            <w:pict>
              <v:shape id="文本框 44" o:spid="_x0000_s1026" o:spt="202" type="#_x0000_t202" style="position:absolute;left:0pt;margin-left:128.7pt;margin-top:4.5pt;height:23.8pt;width:193.3pt;z-index:251670528;mso-width-relative:page;mso-height-relative:page;" fillcolor="#FFFFFF" filled="t" stroked="t" coordsize="21600,21600" o:gfxdata="UEsDBAoAAAAAAIdO4kAAAAAAAAAAAAAAAAAEAAAAZHJzL1BLAwQUAAAACACHTuJAhaY92tgAAAAI&#10;AQAADwAAAGRycy9kb3ducmV2LnhtbE2PzU7DMBCE70i8g7VIXBB1WtK0Ddn0gASCGxTUXt14m0T4&#10;J9huWt6e5QS3Hc1o9ptqfbZGjBRi7x3CdJKBINd43bsW4eP98XYJIibltDLeEcI3RVjXlxeVKrU/&#10;uTcaN6kVXOJiqRC6lIZSyth0ZFWc+IEcewcfrEosQyt1UCcut0bOsqyQVvWOP3RqoIeOms/N0SIs&#10;8+dxF1/uXrdNcTCrdLMYn74C4vXVNLsHkeic/sLwi8/oUDPT3h+djsIgzOaLnKMIK57EfpHnfOwR&#10;5kUBsq7k/wH1D1BLAwQUAAAACACHTuJAj/91jh4CAABUBAAADgAAAGRycy9lMm9Eb2MueG1srVRL&#10;ktMwEN1TxR1U2hM7JhkY1zhTBSFsKKBq4ACKLduq0g9JiZ0LwA1YsWHPuXIOnpRMyAwsssALu6Vu&#10;ve73uuWb21FJsuXOC6MrOp3klHBdm0borqKfP62evaTEB6YbJo3mFd1xT28XT5/cDLbkhemNbLgj&#10;ANG+HGxF+xBsmWW+7rlifmIs13C2xikWsHRd1jg2AF3JrMjzq2wwrrHO1Nx77C4PTnpEdJcAmrYV&#10;NV+aeqO4DgdUxyULoOR7YT1dpGrbltfhQ9t6HoisKJiG9EYS2Ov4zhY3rOwcs72ojyWwS0p4xEkx&#10;oZH0BLVkgZGNE39BKVE7400bJrVR2YFIUgQspvkjbe56ZnniAqm9PYnu/x9s/X770RHRYBJeUKKZ&#10;Qsf337/tf/za//xKZrMo0GB9ibg7i8gwvjIjgu/3PTYj77F1Kn7BiMAPeXcnefkYSI3NYjafXU/h&#10;quF7nhfFVdI/+3PaOh/ecqNINCrq0L6kKtu+8wGVIPQ+JCbzRopmJaRMC9etX0tHtgytXqUnFokj&#10;D8KkJkNFr+fFHHUwzG+LuYGpLDTwukv5Hpzw58B5ev4FHAtbMt8fCkgIMYyVSgTuktVz1rzRDQk7&#10;C5k1rheNxSjeUCI5bmO0UmRgQl4SCXZSxyQ8zfpRpdiwQ2OiFcb1CNBork2zQxMHzDvIftkwhwo2&#10;1omuh9ypqVmMw7Al5Y4XI07z+Rr2+c9g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Fpj3a2AAA&#10;AAgBAAAPAAAAAAAAAAEAIAAAACIAAABkcnMvZG93bnJldi54bWxQSwECFAAUAAAACACHTuJAj/91&#10;jh4CAABUBAAADgAAAAAAAAABACAAAAAnAQAAZHJzL2Uyb0RvYy54bWxQSwUGAAAAAAYABgBZAQAA&#10;twUAAAAA&#10;">
                <v:fill on="t" focussize="0,0"/>
                <v:stroke color="#000000" joinstyle="miter"/>
                <v:imagedata o:title=""/>
                <o:lock v:ext="edit" aspectratio="f"/>
                <v:textbox>
                  <w:txbxContent>
                    <w:p w14:paraId="2CAAC94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确认配送关系</w:t>
                      </w:r>
                    </w:p>
                    <w:p w14:paraId="24EED874">
                      <w:pPr>
                        <w:jc w:val="center"/>
                      </w:pPr>
                    </w:p>
                  </w:txbxContent>
                </v:textbox>
              </v:shape>
            </w:pict>
          </mc:Fallback>
        </mc:AlternateContent>
      </w:r>
    </w:p>
    <w:p w14:paraId="42E47E17">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2D6691F4">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sz w:val="24"/>
          <w:szCs w:val="24"/>
          <w:highlight w:val="none"/>
        </w:rPr>
      </w:pPr>
      <w:r>
        <w:rPr>
          <w:sz w:val="24"/>
          <w:highlight w:val="none"/>
        </w:rPr>
        <mc:AlternateContent>
          <mc:Choice Requires="wps">
            <w:drawing>
              <wp:anchor distT="0" distB="0" distL="114300" distR="114300" simplePos="0" relativeHeight="251671552" behindDoc="0" locked="0" layoutInCell="1" allowOverlap="1">
                <wp:simplePos x="0" y="0"/>
                <wp:positionH relativeFrom="column">
                  <wp:posOffset>1657985</wp:posOffset>
                </wp:positionH>
                <wp:positionV relativeFrom="paragraph">
                  <wp:posOffset>44450</wp:posOffset>
                </wp:positionV>
                <wp:extent cx="2454910" cy="301625"/>
                <wp:effectExtent l="4445" t="4445" r="17145" b="17780"/>
                <wp:wrapNone/>
                <wp:docPr id="18" name="文本框 45"/>
                <wp:cNvGraphicFramePr/>
                <a:graphic xmlns:a="http://schemas.openxmlformats.org/drawingml/2006/main">
                  <a:graphicData uri="http://schemas.microsoft.com/office/word/2010/wordprocessingShape">
                    <wps:wsp>
                      <wps:cNvSpPr txBox="1"/>
                      <wps:spPr>
                        <a:xfrm>
                          <a:off x="0" y="0"/>
                          <a:ext cx="2454910" cy="301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06775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签订三方购销</w:t>
                            </w:r>
                            <w:r>
                              <w:rPr>
                                <w:rFonts w:hint="eastAsia" w:ascii="仿宋_GB2312" w:hAnsi="仿宋_GB2312" w:eastAsia="仿宋_GB2312" w:cs="仿宋_GB2312"/>
                                <w:sz w:val="24"/>
                                <w:szCs w:val="24"/>
                                <w:lang w:eastAsia="zh-CN"/>
                              </w:rPr>
                              <w:t>合同</w:t>
                            </w:r>
                          </w:p>
                          <w:p w14:paraId="3531C6F8">
                            <w:pPr>
                              <w:jc w:val="center"/>
                            </w:pPr>
                          </w:p>
                        </w:txbxContent>
                      </wps:txbx>
                      <wps:bodyPr wrap="square" upright="1"/>
                    </wps:wsp>
                  </a:graphicData>
                </a:graphic>
              </wp:anchor>
            </w:drawing>
          </mc:Choice>
          <mc:Fallback>
            <w:pict>
              <v:shape id="文本框 45" o:spid="_x0000_s1026" o:spt="202" type="#_x0000_t202" style="position:absolute;left:0pt;margin-left:130.55pt;margin-top:3.5pt;height:23.75pt;width:193.3pt;z-index:251671552;mso-width-relative:page;mso-height-relative:page;" fillcolor="#FFFFFF" filled="t" stroked="t" coordsize="21600,21600" o:gfxdata="UEsDBAoAAAAAAIdO4kAAAAAAAAAAAAAAAAAEAAAAZHJzL1BLAwQUAAAACACHTuJAMADcSNgAAAAI&#10;AQAADwAAAGRycy9kb3ducmV2LnhtbE2PvU7DQBCEeyTe4bRINIicHRw7GK9TIIGgCyEK7cXe2Bb3&#10;Y+4uTnh7lgrK0YxmvqlWZ6PFRD4MziKkswQE2ca1g+0Qtu9Pt0sQISrbKu0sIXxTgFV9eVGpsnUn&#10;+0bTJnaCS2woFUIf41hKGZqejAozN5Jl7+C8UZGl72Tr1YnLjZbzJMmlUYPlhV6N9NhT87k5GoRl&#10;9jJ9hNe79a7JD/o+3hTT85dHvL5KkwcQkc7xLwy/+IwONTPt3dG2QWiEeZ6mHEUo+BL7eVYUIPYI&#10;i2wBsq7k/wP1D1BLAwQUAAAACACHTuJAJBNVXx0CAABUBAAADgAAAGRycy9lMm9Eb2MueG1srVTN&#10;jtMwEL4j8Q6W72zS0q7YqOlKUMoFAdLCA7iO01jyH7bbpC8Ab8CJC3eeq8+xn91u6S4ceiCHZOz5&#10;/M3MN+PMbgetyFb4IK2p6eiqpEQYbhtp1jX98nn54hUlITLTMGWNqOlOBHo7f/5s1rtKjG1nVSM8&#10;AYkJVe9q2sXoqqIIvBOahSvrhIGztV6ziKVfF41nPdi1KsZleV301jfOWy5CwO7i4KRHRn8JoW1b&#10;ycXC8o0WJh5YvVAsoqTQSRfoPGfbtoLHj20bRCSqpqg05jeCwF6ldzGfsWrtmeskP6bALknhSU2a&#10;SYOgJ6oFi4xsvPyLSkvubbBtvOJWF4dCsiKoYlQ+0eauY07kWiB1cCfRw/+j5R+2nzyRDSYBfTdM&#10;o+P7H9/3P3/vf30jk2kSqHehAu7OARmH13YA+GE/YDPVPbRepy8qIvBD3t1JXjFEwrE5nkwnNyO4&#10;OHwvy9H1ONMXf047H+I7YTVJRk092pdVZdv3ISITQB8gKViwSjZLqVRe+PXqjfJky9DqZX5Skjjy&#10;CKYM6Wt6M0Vswhnmt8XcwNQOGgSzzvEenQjnxGV+/kWcEluw0B0SyAwJxioto/DZ6gRr3pqGxJ2D&#10;zAbXi6ZktGgoUQK3MVkZGZlUlyBRnTIpiMizflQpNezQmGTFYTWANJkr2+zQxB7zjmK/bphHBhvn&#10;5bqD3LmpRcJh2LJyx4uRpvl8Dfv8ZzC/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AA3EjYAAAA&#10;CAEAAA8AAAAAAAAAAQAgAAAAIgAAAGRycy9kb3ducmV2LnhtbFBLAQIUABQAAAAIAIdO4kAkE1Vf&#10;HQIAAFQEAAAOAAAAAAAAAAEAIAAAACcBAABkcnMvZTJvRG9jLnhtbFBLBQYAAAAABgAGAFkBAAC2&#10;BQAAAAA=&#10;">
                <v:fill on="t" focussize="0,0"/>
                <v:stroke color="#000000" joinstyle="miter"/>
                <v:imagedata o:title=""/>
                <o:lock v:ext="edit" aspectratio="f"/>
                <v:textbox>
                  <w:txbxContent>
                    <w:p w14:paraId="3B06775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签订三方购销</w:t>
                      </w:r>
                      <w:r>
                        <w:rPr>
                          <w:rFonts w:hint="eastAsia" w:ascii="仿宋_GB2312" w:hAnsi="仿宋_GB2312" w:eastAsia="仿宋_GB2312" w:cs="仿宋_GB2312"/>
                          <w:sz w:val="24"/>
                          <w:szCs w:val="24"/>
                          <w:lang w:eastAsia="zh-CN"/>
                        </w:rPr>
                        <w:t>合同</w:t>
                      </w:r>
                    </w:p>
                    <w:p w14:paraId="3531C6F8">
                      <w:pPr>
                        <w:jc w:val="center"/>
                      </w:pPr>
                    </w:p>
                  </w:txbxContent>
                </v:textbox>
              </v:shape>
            </w:pict>
          </mc:Fallback>
        </mc:AlternateContent>
      </w:r>
    </w:p>
    <w:p w14:paraId="1643EFD1">
      <w:pPr>
        <w:keepNext w:val="0"/>
        <w:keepLines w:val="0"/>
        <w:pageBreakBefore w:val="0"/>
        <w:widowControl w:val="0"/>
        <w:kinsoku/>
        <w:wordWrap/>
        <w:overflowPunct/>
        <w:topLinePunct w:val="0"/>
        <w:autoSpaceDE/>
        <w:autoSpaceDN/>
        <w:bidi w:val="0"/>
        <w:adjustRightInd/>
        <w:snapToGrid/>
        <w:spacing w:line="560" w:lineRule="exact"/>
        <w:ind w:right="508" w:rightChars="231" w:firstLine="4440" w:firstLineChars="1850"/>
        <w:jc w:val="left"/>
        <w:textAlignment w:val="auto"/>
        <w:rPr>
          <w:rFonts w:hint="eastAsia"/>
          <w:sz w:val="24"/>
          <w:szCs w:val="24"/>
          <w:highlight w:val="none"/>
        </w:rPr>
      </w:pPr>
      <w:r>
        <w:rPr>
          <w:rFonts w:hint="eastAsia" w:ascii="东文宋体" w:hAnsi="东文宋体" w:eastAsia="东文宋体" w:cs="东文宋体"/>
          <w:sz w:val="24"/>
          <w:szCs w:val="24"/>
          <w:highlight w:val="none"/>
        </w:rPr>
        <w:t>↓</w:t>
      </w:r>
    </w:p>
    <w:p w14:paraId="67CA9DCD">
      <w:pPr>
        <w:keepNext w:val="0"/>
        <w:keepLines w:val="0"/>
        <w:pageBreakBefore w:val="0"/>
        <w:widowControl w:val="0"/>
        <w:kinsoku/>
        <w:wordWrap/>
        <w:overflowPunct/>
        <w:topLinePunct w:val="0"/>
        <w:autoSpaceDE/>
        <w:autoSpaceDN/>
        <w:bidi w:val="0"/>
        <w:adjustRightInd/>
        <w:snapToGrid/>
        <w:spacing w:line="560" w:lineRule="exact"/>
        <w:ind w:right="508" w:rightChars="231"/>
        <w:jc w:val="center"/>
        <w:textAlignment w:val="auto"/>
        <w:rPr>
          <w:rFonts w:hint="eastAsia" w:ascii="黑体" w:hAnsi="黑体" w:eastAsia="黑体" w:cs="黑体"/>
          <w:b w:val="0"/>
          <w:bCs w:val="0"/>
          <w:highlight w:val="none"/>
          <w:lang w:eastAsia="zh-CN"/>
        </w:rPr>
      </w:pPr>
      <w:r>
        <w:rPr>
          <w:sz w:val="24"/>
          <w:highlight w:val="none"/>
        </w:rPr>
        <mc:AlternateContent>
          <mc:Choice Requires="wps">
            <w:drawing>
              <wp:anchor distT="0" distB="0" distL="114300" distR="114300" simplePos="0" relativeHeight="251672576" behindDoc="0" locked="0" layoutInCell="1" allowOverlap="1">
                <wp:simplePos x="0" y="0"/>
                <wp:positionH relativeFrom="column">
                  <wp:posOffset>1633855</wp:posOffset>
                </wp:positionH>
                <wp:positionV relativeFrom="paragraph">
                  <wp:posOffset>46990</wp:posOffset>
                </wp:positionV>
                <wp:extent cx="2454910" cy="302260"/>
                <wp:effectExtent l="4445" t="4445" r="17145" b="17145"/>
                <wp:wrapNone/>
                <wp:docPr id="19" name="文本框 46"/>
                <wp:cNvGraphicFramePr/>
                <a:graphic xmlns:a="http://schemas.openxmlformats.org/drawingml/2006/main">
                  <a:graphicData uri="http://schemas.microsoft.com/office/word/2010/wordprocessingShape">
                    <wps:wsp>
                      <wps:cNvSpPr txBox="1"/>
                      <wps:spPr>
                        <a:xfrm>
                          <a:off x="0" y="0"/>
                          <a:ext cx="245491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361B1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中选结果挂网执行</w:t>
                            </w:r>
                          </w:p>
                          <w:p w14:paraId="4E362199">
                            <w:pPr>
                              <w:jc w:val="center"/>
                            </w:pPr>
                          </w:p>
                        </w:txbxContent>
                      </wps:txbx>
                      <wps:bodyPr wrap="square" upright="1"/>
                    </wps:wsp>
                  </a:graphicData>
                </a:graphic>
              </wp:anchor>
            </w:drawing>
          </mc:Choice>
          <mc:Fallback>
            <w:pict>
              <v:shape id="文本框 46" o:spid="_x0000_s1026" o:spt="202" type="#_x0000_t202" style="position:absolute;left:0pt;margin-left:128.65pt;margin-top:3.7pt;height:23.8pt;width:193.3pt;z-index:251672576;mso-width-relative:page;mso-height-relative:page;" fillcolor="#FFFFFF" filled="t" stroked="t" coordsize="21600,21600" o:gfxdata="UEsDBAoAAAAAAIdO4kAAAAAAAAAAAAAAAAAEAAAAZHJzL1BLAwQUAAAACACHTuJATZNxHtgAAAAI&#10;AQAADwAAAGRycy9kb3ducmV2LnhtbE2PzU7DMBCE70i8g7VIXBC12/y1IU4PSCC4lVKVqxtvkwh7&#10;HWI3LW+POcFxNKOZb6r1xRo24eh7RxLmMwEMqXG6p1bC7v3pfgnMB0VaGUco4Rs9rOvrq0qV2p3p&#10;DadtaFksIV8qCV0IQ8m5bzq0ys/cgBS9oxutClGOLdejOsdya/hCiJxb1VNc6NSAjx02n9uTlbBM&#10;X6YP/5ps9k1+NKtwV0zPX6OUtzdz8QAs4CX8heEXP6JDHZkO7kTaMyNhkRVJjEooUmDRz9NkBewg&#10;IcsE8Lri/w/UP1BLAwQUAAAACACHTuJAlP3aPx4CAABUBAAADgAAAGRycy9lMm9Eb2MueG1srVTN&#10;jtMwEL4j8Q6W7zRpaFe0aroSlHJBgLTwAG7iJJb8h+026QvAG3Diwp3n6nPsZ7dbuguHHsghGXvG&#10;38z3zTiL20FJsuPOC6NLOh7llHBdmVrotqRfPq9fvKLEB6ZrJo3mJd1zT2+Xz58tejvnhemMrLkj&#10;ANF+3tuSdiHYeZb5quOK+ZGxXMPZGKdYwNK1We1YD3QlsyLPb7LeuNo6U3Hvsbs6OukJ0V0DaJpG&#10;VHxlqq3iOhxRHZcsgJLvhPV0maptGl6Fj03jeSCypGAa0htJYG/iO1su2Lx1zHaiOpXArinhCSfF&#10;hEbSM9SKBUa2TvwFpUTljDdNGFVGZUciSRGwGOdPtLnrmOWJC6T29iy6/3+w1YfdJ0dEjUmYUaKZ&#10;QscPP74ffv4+/PpGJjdRoN76OeLuLCLD8NoMCH7Y99iMvIfGqfgFIwI/5N2f5eVDIBU2i8l0MhvD&#10;VcH3Mi+Km6R/9ue0dT6840aRaJTUoX1JVbZ77wMqQehDSEzmjRT1WkiZFq7dvJGO7BhavU5PLBJH&#10;HoVJTfqSzqbFFHUwzG+DuYGpLDTwuk35Hp3wl8B5ev4FHAtbMd8dC0gIMYzNlQjcJavjrH6raxL2&#10;FjJrXC8ai1G8pkRy3MZopcjAhLwmEuykjkl4mvWTSrFhx8ZEKwybAaDR3Jh6jyb2mHeQ/bplDhVs&#10;rRNtB7lTU7MYh2FLyp0uRpzmyzXsy5/B8h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Nk3Ee2AAA&#10;AAgBAAAPAAAAAAAAAAEAIAAAACIAAABkcnMvZG93bnJldi54bWxQSwECFAAUAAAACACHTuJAlP3a&#10;Px4CAABUBAAADgAAAAAAAAABACAAAAAnAQAAZHJzL2Uyb0RvYy54bWxQSwUGAAAAAAYABgBZAQAA&#10;twUAAAAA&#10;">
                <v:fill on="t" focussize="0,0"/>
                <v:stroke color="#000000" joinstyle="miter"/>
                <v:imagedata o:title=""/>
                <o:lock v:ext="edit" aspectratio="f"/>
                <v:textbox>
                  <w:txbxContent>
                    <w:p w14:paraId="3F361B1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中选结果挂网执行</w:t>
                      </w:r>
                    </w:p>
                    <w:p w14:paraId="4E362199">
                      <w:pPr>
                        <w:jc w:val="center"/>
                      </w:pPr>
                    </w:p>
                  </w:txbxContent>
                </v:textbox>
              </v:shape>
            </w:pict>
          </mc:Fallback>
        </mc:AlternateContent>
      </w:r>
      <w:bookmarkStart w:id="78" w:name="九、联系方式"/>
      <w:bookmarkEnd w:id="78"/>
      <w:bookmarkStart w:id="79" w:name="_Toc561221213"/>
      <w:bookmarkStart w:id="80" w:name="_Toc815278660"/>
      <w:bookmarkStart w:id="81" w:name="_Toc155562282"/>
      <w:bookmarkStart w:id="82" w:name="_Toc1248939627"/>
      <w:bookmarkStart w:id="83" w:name="_Toc2069243296"/>
    </w:p>
    <w:p w14:paraId="509C5E90">
      <w:pPr>
        <w:pStyle w:val="3"/>
        <w:keepNext w:val="0"/>
        <w:keepLines w:val="0"/>
        <w:pageBreakBefore w:val="0"/>
        <w:widowControl w:val="0"/>
        <w:kinsoku/>
        <w:wordWrap/>
        <w:overflowPunct/>
        <w:topLinePunct w:val="0"/>
        <w:autoSpaceDE w:val="0"/>
        <w:autoSpaceDN w:val="0"/>
        <w:bidi w:val="0"/>
        <w:adjustRightInd/>
        <w:snapToGrid/>
        <w:spacing w:line="560" w:lineRule="exact"/>
        <w:textAlignment w:val="auto"/>
        <w:outlineLvl w:val="1"/>
        <w:rPr>
          <w:rFonts w:hint="eastAsia" w:ascii="黑体" w:hAnsi="黑体" w:eastAsia="黑体" w:cs="黑体"/>
          <w:b w:val="0"/>
          <w:bCs w:val="0"/>
          <w:highlight w:val="none"/>
          <w:lang w:eastAsia="zh-CN"/>
        </w:rPr>
      </w:pPr>
      <w:bookmarkStart w:id="84" w:name="_Toc12475"/>
      <w:r>
        <w:rPr>
          <w:rFonts w:hint="eastAsia" w:ascii="黑体" w:hAnsi="黑体" w:eastAsia="黑体" w:cs="黑体"/>
          <w:b w:val="0"/>
          <w:bCs w:val="0"/>
          <w:highlight w:val="none"/>
          <w:lang w:eastAsia="zh-CN"/>
        </w:rPr>
        <w:t>九、联系方式</w:t>
      </w:r>
      <w:bookmarkEnd w:id="79"/>
      <w:bookmarkEnd w:id="80"/>
      <w:bookmarkEnd w:id="81"/>
      <w:bookmarkEnd w:id="82"/>
      <w:bookmarkEnd w:id="83"/>
      <w:bookmarkEnd w:id="84"/>
    </w:p>
    <w:p w14:paraId="0B305A9C">
      <w:pPr>
        <w:keepNext w:val="0"/>
        <w:keepLines w:val="0"/>
        <w:pageBreakBefore w:val="0"/>
        <w:widowControl w:val="0"/>
        <w:kinsoku/>
        <w:wordWrap/>
        <w:overflowPunct/>
        <w:topLinePunct w:val="0"/>
        <w:autoSpaceDE/>
        <w:autoSpaceDN/>
        <w:bidi w:val="0"/>
        <w:adjustRightInd w:val="0"/>
        <w:snapToGrid w:val="0"/>
        <w:spacing w:line="560" w:lineRule="exact"/>
        <w:ind w:left="0" w:right="0" w:firstLine="672"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pacing w:val="8"/>
          <w:sz w:val="32"/>
          <w:szCs w:val="32"/>
          <w:highlight w:val="none"/>
        </w:rPr>
        <w:t>名称：</w:t>
      </w:r>
      <w:r>
        <w:rPr>
          <w:rFonts w:hint="eastAsia" w:ascii="仿宋_GB2312" w:hAnsi="仿宋_GB2312" w:eastAsia="仿宋_GB2312" w:cs="仿宋_GB2312"/>
          <w:spacing w:val="8"/>
          <w:sz w:val="32"/>
          <w:szCs w:val="32"/>
          <w:highlight w:val="none"/>
          <w:lang w:val="en-US" w:eastAsia="zh-CN"/>
        </w:rPr>
        <w:t>龙岩市医疗保障局</w:t>
      </w:r>
    </w:p>
    <w:p w14:paraId="56648A7B">
      <w:pPr>
        <w:keepNext w:val="0"/>
        <w:keepLines w:val="0"/>
        <w:pageBreakBefore w:val="0"/>
        <w:kinsoku/>
        <w:wordWrap/>
        <w:overflowPunct/>
        <w:topLinePunct w:val="0"/>
        <w:autoSpaceDE/>
        <w:autoSpaceDN/>
        <w:bidi w:val="0"/>
        <w:adjustRightInd/>
        <w:snapToGrid/>
        <w:spacing w:line="560" w:lineRule="exact"/>
        <w:ind w:firstLine="65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pacing w:val="3"/>
          <w:sz w:val="32"/>
          <w:szCs w:val="32"/>
          <w:highlight w:val="none"/>
        </w:rPr>
        <w:t>地址：</w:t>
      </w:r>
      <w:r>
        <w:rPr>
          <w:rFonts w:hint="eastAsia" w:ascii="仿宋_GB2312" w:hAnsi="仿宋_GB2312" w:eastAsia="仿宋_GB2312" w:cs="仿宋_GB2312"/>
          <w:color w:val="auto"/>
          <w:sz w:val="32"/>
          <w:szCs w:val="32"/>
          <w:highlight w:val="none"/>
          <w:lang w:val="en-US" w:eastAsia="zh-CN"/>
        </w:rPr>
        <w:t>福建省龙岩市新罗区华莲路138号金融中心B2栋农行大楼7楼706价采科</w:t>
      </w:r>
      <w:r>
        <w:rPr>
          <w:rFonts w:hint="eastAsia" w:ascii="仿宋_GB2312" w:hAnsi="仿宋_GB2312" w:eastAsia="仿宋_GB2312" w:cs="仿宋_GB2312"/>
          <w:color w:val="auto"/>
          <w:sz w:val="32"/>
          <w:szCs w:val="32"/>
          <w:highlight w:val="none"/>
        </w:rPr>
        <w:t>。</w:t>
      </w:r>
    </w:p>
    <w:p w14:paraId="7586D834">
      <w:pPr>
        <w:keepNext w:val="0"/>
        <w:keepLines w:val="0"/>
        <w:pageBreakBefore w:val="0"/>
        <w:widowControl w:val="0"/>
        <w:kinsoku/>
        <w:wordWrap/>
        <w:overflowPunct/>
        <w:topLinePunct w:val="0"/>
        <w:autoSpaceDE/>
        <w:autoSpaceDN/>
        <w:bidi w:val="0"/>
        <w:adjustRightInd w:val="0"/>
        <w:snapToGrid w:val="0"/>
        <w:spacing w:line="560" w:lineRule="exact"/>
        <w:ind w:right="0" w:firstLine="648" w:firstLineChars="200"/>
        <w:textAlignment w:val="baseline"/>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2"/>
          <w:sz w:val="32"/>
          <w:szCs w:val="32"/>
          <w:highlight w:val="none"/>
        </w:rPr>
        <w:t>电话：</w:t>
      </w:r>
      <w:r>
        <w:rPr>
          <w:rFonts w:hint="eastAsia" w:ascii="仿宋_GB2312" w:hAnsi="仿宋_GB2312" w:eastAsia="仿宋_GB2312" w:cs="仿宋_GB2312"/>
          <w:color w:val="auto"/>
          <w:sz w:val="32"/>
          <w:szCs w:val="32"/>
          <w:highlight w:val="none"/>
        </w:rPr>
        <w:t>059</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3085983</w:t>
      </w:r>
    </w:p>
    <w:p w14:paraId="70332A2F">
      <w:pPr>
        <w:pStyle w:val="8"/>
        <w:keepNext w:val="0"/>
        <w:keepLines w:val="0"/>
        <w:pageBreakBefore w:val="0"/>
        <w:widowControl w:val="0"/>
        <w:kinsoku/>
        <w:wordWrap/>
        <w:overflowPunct/>
        <w:topLinePunct w:val="0"/>
        <w:autoSpaceDE w:val="0"/>
        <w:autoSpaceDN w:val="0"/>
        <w:bidi w:val="0"/>
        <w:snapToGrid/>
        <w:spacing w:before="3" w:line="560" w:lineRule="exact"/>
        <w:ind w:left="103" w:right="508" w:rightChars="231" w:firstLine="640"/>
        <w:textAlignment w:val="auto"/>
        <w:rPr>
          <w:rFonts w:hint="eastAsia" w:ascii="仿宋_GB2312" w:hAnsi="仿宋_GB2312" w:eastAsia="仿宋_GB2312" w:cs="仿宋_GB2312"/>
          <w:spacing w:val="-1"/>
          <w:sz w:val="32"/>
          <w:szCs w:val="32"/>
          <w:highlight w:val="none"/>
          <w:lang w:val="en-US" w:eastAsia="zh-CN" w:bidi="ar-SA"/>
        </w:rPr>
      </w:pPr>
      <w:r>
        <w:rPr>
          <w:rFonts w:hint="eastAsia" w:ascii="仿宋_GB2312" w:hAnsi="仿宋_GB2312" w:eastAsia="仿宋_GB2312" w:cs="仿宋_GB2312"/>
          <w:spacing w:val="-1"/>
          <w:sz w:val="32"/>
          <w:szCs w:val="32"/>
          <w:highlight w:val="none"/>
          <w:lang w:val="en-US" w:eastAsia="zh-CN" w:bidi="ar-SA"/>
        </w:rPr>
        <w:t>QQ群：</w:t>
      </w:r>
      <w:r>
        <w:rPr>
          <w:rFonts w:hint="eastAsia" w:ascii="仿宋_GB2312" w:hAnsi="仿宋_GB2312" w:eastAsia="仿宋_GB2312" w:cs="仿宋_GB2312"/>
          <w:b w:val="0"/>
          <w:bCs w:val="0"/>
          <w:i w:val="0"/>
          <w:caps w:val="0"/>
          <w:color w:val="333333"/>
          <w:spacing w:val="0"/>
          <w:kern w:val="0"/>
          <w:sz w:val="32"/>
          <w:szCs w:val="32"/>
          <w:highlight w:val="none"/>
          <w:shd w:val="clear" w:color="auto" w:fill="FFFFFF"/>
          <w:lang w:val="en-US" w:eastAsia="zh-CN" w:bidi="ar"/>
        </w:rPr>
        <w:t>967178196</w:t>
      </w:r>
    </w:p>
    <w:p w14:paraId="6DB36252">
      <w:pPr>
        <w:keepNext w:val="0"/>
        <w:keepLines w:val="0"/>
        <w:pageBreakBefore w:val="0"/>
        <w:widowControl w:val="0"/>
        <w:kinsoku/>
        <w:wordWrap/>
        <w:overflowPunct/>
        <w:topLinePunct w:val="0"/>
        <w:bidi w:val="0"/>
        <w:adjustRightInd/>
        <w:snapToGrid/>
        <w:spacing w:before="56" w:line="560" w:lineRule="exact"/>
        <w:ind w:right="1829"/>
        <w:jc w:val="both"/>
        <w:textAlignment w:val="auto"/>
        <w:rPr>
          <w:rFonts w:hint="eastAsia" w:ascii="方正小标宋简体" w:hAnsi="方正小标宋简体" w:eastAsia="方正小标宋简体" w:cs="方正小标宋简体"/>
          <w:highlight w:val="none"/>
          <w:lang w:eastAsia="zh-CN"/>
        </w:rPr>
      </w:pPr>
      <w:bookmarkStart w:id="85" w:name="_TOC_250001"/>
      <w:bookmarkEnd w:id="85"/>
      <w:r>
        <w:rPr>
          <w:rFonts w:hint="eastAsia" w:ascii="方正小标宋简体" w:hAnsi="方正小标宋简体" w:eastAsia="方正小标宋简体" w:cs="方正小标宋简体"/>
          <w:highlight w:val="none"/>
        </w:rPr>
        <w:br w:type="page"/>
      </w:r>
      <w:bookmarkStart w:id="86" w:name="_Toc513196652"/>
      <w:bookmarkStart w:id="87" w:name="_Toc1839498426"/>
    </w:p>
    <w:p w14:paraId="3FEE0B8D">
      <w:pPr>
        <w:pStyle w:val="2"/>
        <w:numPr>
          <w:ilvl w:val="0"/>
          <w:numId w:val="1"/>
        </w:numPr>
        <w:bidi w:val="0"/>
        <w:ind w:left="0" w:leftChars="0" w:firstLine="0" w:firstLineChars="0"/>
        <w:jc w:val="center"/>
        <w:outlineLvl w:val="0"/>
        <w:rPr>
          <w:rFonts w:hint="eastAsia" w:ascii="方正小标宋简体" w:hAnsi="方正小标宋简体" w:eastAsia="方正小标宋简体" w:cs="方正小标宋简体"/>
          <w:highlight w:val="none"/>
        </w:rPr>
      </w:pPr>
      <w:bookmarkStart w:id="88" w:name="_Toc12190"/>
      <w:bookmarkStart w:id="89" w:name="_Toc1421896354"/>
      <w:bookmarkStart w:id="90" w:name="_Toc696749267"/>
      <w:bookmarkStart w:id="91" w:name="_Toc1902852711"/>
      <w:r>
        <w:rPr>
          <w:rFonts w:hint="eastAsia" w:ascii="方正小标宋简体" w:hAnsi="方正小标宋简体" w:eastAsia="方正小标宋简体" w:cs="方正小标宋简体"/>
          <w:highlight w:val="none"/>
        </w:rPr>
        <w:t>申报企业须知</w:t>
      </w:r>
      <w:bookmarkEnd w:id="86"/>
      <w:bookmarkEnd w:id="87"/>
      <w:bookmarkEnd w:id="88"/>
      <w:bookmarkEnd w:id="89"/>
      <w:bookmarkEnd w:id="90"/>
      <w:bookmarkEnd w:id="91"/>
    </w:p>
    <w:p w14:paraId="1C4C130E">
      <w:pPr>
        <w:rPr>
          <w:rFonts w:hint="eastAsia"/>
          <w:highlight w:val="none"/>
        </w:rPr>
      </w:pPr>
    </w:p>
    <w:p w14:paraId="3B1778AE">
      <w:pPr>
        <w:numPr>
          <w:ilvl w:val="0"/>
          <w:numId w:val="0"/>
        </w:numPr>
        <w:ind w:right="0" w:rightChars="0"/>
        <w:rPr>
          <w:rFonts w:hint="eastAsia"/>
          <w:highlight w:val="none"/>
        </w:rPr>
      </w:pPr>
    </w:p>
    <w:p w14:paraId="64D9E4B0">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92" w:name="一、申报材料"/>
      <w:bookmarkEnd w:id="92"/>
      <w:bookmarkStart w:id="93" w:name="_Toc368957084"/>
      <w:bookmarkStart w:id="94" w:name="_Toc1684638101"/>
      <w:bookmarkStart w:id="95" w:name="_Toc627391945"/>
      <w:bookmarkStart w:id="96" w:name="_Toc36603378"/>
      <w:bookmarkStart w:id="97" w:name="_Toc18660"/>
      <w:bookmarkStart w:id="98" w:name="_Toc613997862"/>
      <w:r>
        <w:rPr>
          <w:rFonts w:hint="eastAsia" w:ascii="黑体" w:hAnsi="黑体" w:eastAsia="黑体" w:cs="黑体"/>
          <w:b w:val="0"/>
          <w:bCs w:val="0"/>
          <w:highlight w:val="none"/>
          <w:lang w:eastAsia="zh-CN"/>
        </w:rPr>
        <w:t>一、申报材料</w:t>
      </w:r>
      <w:bookmarkEnd w:id="93"/>
      <w:bookmarkEnd w:id="94"/>
      <w:bookmarkEnd w:id="95"/>
      <w:bookmarkEnd w:id="96"/>
      <w:bookmarkEnd w:id="97"/>
      <w:bookmarkEnd w:id="98"/>
    </w:p>
    <w:p w14:paraId="4BC660F1">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99" w:name="_Toc1012651004"/>
      <w:bookmarkStart w:id="100" w:name="_Toc11504"/>
      <w:bookmarkStart w:id="101" w:name="_Toc803142799"/>
      <w:r>
        <w:rPr>
          <w:rFonts w:hint="eastAsia" w:ascii="楷体_GB2312" w:hAnsi="楷体_GB2312" w:eastAsia="楷体_GB2312" w:cs="楷体_GB2312"/>
          <w:b w:val="0"/>
          <w:bCs/>
          <w:sz w:val="32"/>
          <w:szCs w:val="22"/>
          <w:highlight w:val="none"/>
          <w:lang w:val="en-US" w:eastAsia="zh-CN" w:bidi="ar-SA"/>
        </w:rPr>
        <w:t>（一）申报企业资质材料</w:t>
      </w:r>
      <w:bookmarkEnd w:id="99"/>
      <w:bookmarkEnd w:id="100"/>
      <w:bookmarkEnd w:id="101"/>
    </w:p>
    <w:p w14:paraId="4EADD67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1.企业《营业执照》（正、副本）；</w:t>
      </w:r>
    </w:p>
    <w:p w14:paraId="49366DA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2.医疗器械注册人或境外医用耗材《医疗器械注册证》上指定的代理人或报关企业法人相关信息；</w:t>
      </w:r>
    </w:p>
    <w:p w14:paraId="3435FB86">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3.境外医用耗材生产企业的《总代理证明材料》〔仅境外医用耗材《医疗器械注册证》上指定的代理人或报关企业提供〕，原则上在</w:t>
      </w: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spacing w:val="-1"/>
          <w:sz w:val="32"/>
          <w:szCs w:val="32"/>
          <w:highlight w:val="none"/>
          <w:lang w:val="en-US" w:eastAsia="zh-CN"/>
        </w:rPr>
        <w:t>中选结果落地执行前提供外文总代理证明材料公证后的翻译件；</w:t>
      </w:r>
    </w:p>
    <w:p w14:paraId="59CB0C1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4.境内医疗器械注册人、备案人从事实际生产的，提供《医疗器械生产许可证》；不从事实际生产的，提供受托生产企业的《营业执照》（正、副本）、《医疗器械生产许可证》等资质材料；</w:t>
      </w:r>
    </w:p>
    <w:p w14:paraId="0B03490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5.其他相关文件材料。</w:t>
      </w:r>
    </w:p>
    <w:p w14:paraId="3367944B">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02" w:name="_Toc817521753"/>
      <w:bookmarkStart w:id="103" w:name="_Toc23586"/>
      <w:bookmarkStart w:id="104" w:name="_Toc1486301398"/>
      <w:r>
        <w:rPr>
          <w:rFonts w:hint="eastAsia" w:ascii="楷体_GB2312" w:hAnsi="楷体_GB2312" w:eastAsia="楷体_GB2312" w:cs="楷体_GB2312"/>
          <w:b w:val="0"/>
          <w:bCs/>
          <w:sz w:val="32"/>
          <w:szCs w:val="22"/>
          <w:highlight w:val="none"/>
          <w:lang w:val="en-US" w:eastAsia="zh-CN" w:bidi="ar-SA"/>
        </w:rPr>
        <w:t>（二）申报产品及产品资质</w:t>
      </w:r>
      <w:bookmarkEnd w:id="102"/>
      <w:bookmarkEnd w:id="103"/>
      <w:bookmarkEnd w:id="104"/>
    </w:p>
    <w:p w14:paraId="5C278D3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医疗器械注册证》、医疗器械产品注册登记表或医疗器械产品生产制造认可表和附页。如制造认可表/注册登记表或附页中明确了规格型号，所报产品必须在其范围内；如医疗器械注册证正在办理延期手续的，需提供受理通知单。</w:t>
      </w:r>
    </w:p>
    <w:p w14:paraId="326AA750">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default"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2.产品说明书、产品图片（上传代表品的外包装和产品实物图片）</w:t>
      </w:r>
    </w:p>
    <w:p w14:paraId="57F41B0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3.境外医用耗材生产企业的《委托授权书》〔仅境外医用耗材</w:t>
      </w:r>
    </w:p>
    <w:p w14:paraId="7CF0F825">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《医疗器械注册证》上指定的代理人或报关企业提供〕。</w:t>
      </w:r>
    </w:p>
    <w:p w14:paraId="7D90691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4.其他相关文件材料。</w:t>
      </w:r>
    </w:p>
    <w:p w14:paraId="599ACEA6">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05" w:name="_Toc15289"/>
      <w:bookmarkStart w:id="106" w:name="_Toc487729165"/>
      <w:bookmarkStart w:id="107" w:name="_Toc737814282"/>
      <w:r>
        <w:rPr>
          <w:rFonts w:hint="eastAsia" w:ascii="楷体_GB2312" w:hAnsi="楷体_GB2312" w:eastAsia="楷体_GB2312" w:cs="楷体_GB2312"/>
          <w:b w:val="0"/>
          <w:bCs/>
          <w:sz w:val="32"/>
          <w:szCs w:val="22"/>
          <w:highlight w:val="none"/>
          <w:lang w:val="en-US" w:eastAsia="zh-CN" w:bidi="ar-SA"/>
        </w:rPr>
        <w:t>（三）项目报名资料</w:t>
      </w:r>
      <w:bookmarkEnd w:id="105"/>
      <w:bookmarkEnd w:id="106"/>
      <w:bookmarkEnd w:id="107"/>
    </w:p>
    <w:p w14:paraId="6B0B8FBD">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1.境内医用耗材生产企业和境外医用耗材《医疗器械注册证》上指定的代理人或报关企业对企业授权代理人的《授权书》和企业授权代理人、法定代表人身份证（正、反面）（附件2）；</w:t>
      </w:r>
    </w:p>
    <w:p w14:paraId="7787702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2.《一次性使用高压造影注射器及附件、输液接头全省性联盟集中带量采购申报函》（附件3）；</w:t>
      </w:r>
    </w:p>
    <w:p w14:paraId="40956DB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3.《一次性使用高压造影注射器及附件、输液接头全省性联盟集中带量采购申报企业承诺函》（附件4）；</w:t>
      </w:r>
    </w:p>
    <w:p w14:paraId="45431E45">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4.其他相关文件材料。</w:t>
      </w:r>
    </w:p>
    <w:p w14:paraId="3021B148">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08" w:name="_Toc318995556"/>
      <w:bookmarkStart w:id="109" w:name="_Toc6107"/>
      <w:bookmarkStart w:id="110" w:name="_Toc874059796"/>
      <w:r>
        <w:rPr>
          <w:rFonts w:hint="eastAsia" w:ascii="楷体_GB2312" w:hAnsi="楷体_GB2312" w:eastAsia="楷体_GB2312" w:cs="楷体_GB2312"/>
          <w:b w:val="0"/>
          <w:bCs/>
          <w:sz w:val="32"/>
          <w:szCs w:val="22"/>
          <w:highlight w:val="none"/>
          <w:lang w:val="en-US" w:eastAsia="zh-CN" w:bidi="ar-SA"/>
        </w:rPr>
        <w:t>（四）填报要求</w:t>
      </w:r>
      <w:bookmarkEnd w:id="108"/>
      <w:bookmarkEnd w:id="109"/>
      <w:bookmarkEnd w:id="110"/>
    </w:p>
    <w:p w14:paraId="26E854C0">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申报企业应如实提供和填报有关资料，包括企业全国现行有效最低省级挂网价或其他地市级（含联盟）及以上集中采购（含带量采购）价格。在网上进行申报的文件，需加盖申报企业公章后扫描上传至联盟集采网址。</w:t>
      </w:r>
    </w:p>
    <w:p w14:paraId="417DE9B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2.申报材料中涉及到的证书、证明材料等需处于有效状态。申报企业的所有申报材料及往来函电一律以中文书写，外文资料必须提供相应的中文翻译文本。</w:t>
      </w:r>
    </w:p>
    <w:p w14:paraId="2997EC48">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11" w:name="_Toc2930"/>
      <w:bookmarkStart w:id="112" w:name="_Toc2013353631"/>
      <w:bookmarkStart w:id="113" w:name="_Toc199632924"/>
      <w:bookmarkStart w:id="114" w:name="_Toc1534845892"/>
      <w:bookmarkStart w:id="115" w:name="_Toc106650967"/>
      <w:bookmarkStart w:id="116" w:name="_Toc1239126780"/>
      <w:r>
        <w:rPr>
          <w:rFonts w:hint="eastAsia" w:ascii="黑体" w:hAnsi="黑体" w:eastAsia="黑体" w:cs="黑体"/>
          <w:b w:val="0"/>
          <w:bCs w:val="0"/>
          <w:highlight w:val="none"/>
          <w:lang w:eastAsia="zh-CN"/>
        </w:rPr>
        <w:t>二、</w:t>
      </w:r>
      <w:r>
        <w:rPr>
          <w:rFonts w:hint="eastAsia" w:ascii="黑体" w:hAnsi="黑体" w:eastAsia="黑体" w:cs="黑体"/>
          <w:b w:val="0"/>
          <w:bCs w:val="0"/>
          <w:highlight w:val="none"/>
          <w:lang w:val="en-US" w:eastAsia="zh-CN"/>
        </w:rPr>
        <w:t>申报</w:t>
      </w:r>
      <w:r>
        <w:rPr>
          <w:rFonts w:hint="eastAsia" w:ascii="黑体" w:hAnsi="黑体" w:eastAsia="黑体" w:cs="黑体"/>
          <w:b w:val="0"/>
          <w:bCs w:val="0"/>
          <w:highlight w:val="none"/>
          <w:lang w:eastAsia="zh-CN"/>
        </w:rPr>
        <w:t>报价</w:t>
      </w:r>
      <w:bookmarkEnd w:id="111"/>
      <w:bookmarkEnd w:id="112"/>
      <w:bookmarkEnd w:id="113"/>
      <w:bookmarkEnd w:id="114"/>
      <w:bookmarkEnd w:id="115"/>
      <w:bookmarkEnd w:id="116"/>
    </w:p>
    <w:p w14:paraId="1138E4B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bookmarkStart w:id="117" w:name="二、申报报价"/>
      <w:bookmarkEnd w:id="117"/>
      <w:r>
        <w:rPr>
          <w:rFonts w:hint="eastAsia" w:ascii="仿宋_GB2312" w:hAnsi="仿宋_GB2312" w:eastAsia="仿宋_GB2312" w:cs="仿宋_GB2312"/>
          <w:spacing w:val="-1"/>
          <w:sz w:val="32"/>
          <w:szCs w:val="32"/>
          <w:highlight w:val="none"/>
          <w:lang w:val="en-US" w:eastAsia="zh-CN"/>
        </w:rPr>
        <w:t>（一）企业申报报价即申报产品满足临床使用的实际供应价，应包含税费、产品正常损耗、相关配套设施、服务和配送等所有费用。</w:t>
      </w:r>
    </w:p>
    <w:p w14:paraId="412AAB79">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default"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（二）申报企业应在规定时间内登录联盟集采网址，按照具体报价要求进行报价。企业申报报价具有法律效力，申报企业须承担相应责任。</w:t>
      </w:r>
    </w:p>
    <w:p w14:paraId="3703E21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bookmarkStart w:id="118" w:name="_Toc1598069196"/>
      <w:r>
        <w:rPr>
          <w:rFonts w:hint="eastAsia" w:ascii="仿宋_GB2312" w:hAnsi="仿宋_GB2312" w:eastAsia="仿宋_GB2312" w:cs="仿宋_GB2312"/>
          <w:spacing w:val="-1"/>
          <w:sz w:val="32"/>
          <w:szCs w:val="32"/>
          <w:highlight w:val="none"/>
          <w:lang w:val="en-US" w:eastAsia="zh-CN"/>
        </w:rPr>
        <w:t>（三）企业申报报价以人民币（元）为单位（保留小数点后2位）。</w:t>
      </w:r>
      <w:bookmarkEnd w:id="118"/>
    </w:p>
    <w:p w14:paraId="2303D621">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19" w:name="三、中选规则"/>
      <w:bookmarkEnd w:id="119"/>
      <w:bookmarkStart w:id="120" w:name="_Toc547094047"/>
      <w:bookmarkStart w:id="121" w:name="_Toc2144546964"/>
      <w:bookmarkStart w:id="122" w:name="_Toc1708001819"/>
      <w:bookmarkStart w:id="123" w:name="_Toc1854866501"/>
      <w:bookmarkStart w:id="124" w:name="_Toc28327"/>
      <w:bookmarkStart w:id="125" w:name="_Toc581339080"/>
      <w:r>
        <w:rPr>
          <w:rFonts w:hint="eastAsia" w:ascii="黑体" w:hAnsi="黑体" w:eastAsia="黑体" w:cs="黑体"/>
          <w:b w:val="0"/>
          <w:bCs w:val="0"/>
          <w:highlight w:val="none"/>
          <w:lang w:eastAsia="zh-CN"/>
        </w:rPr>
        <w:t>三、中选规则</w:t>
      </w:r>
      <w:bookmarkEnd w:id="120"/>
      <w:bookmarkEnd w:id="121"/>
      <w:bookmarkEnd w:id="122"/>
      <w:bookmarkEnd w:id="123"/>
      <w:bookmarkEnd w:id="124"/>
      <w:bookmarkEnd w:id="125"/>
    </w:p>
    <w:p w14:paraId="2FC080A0">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26" w:name="_Toc1662807357"/>
      <w:bookmarkStart w:id="127" w:name="_Toc18761"/>
      <w:bookmarkStart w:id="128" w:name="_Toc1868662455"/>
      <w:r>
        <w:rPr>
          <w:rFonts w:hint="eastAsia" w:ascii="楷体_GB2312" w:hAnsi="楷体_GB2312" w:eastAsia="楷体_GB2312" w:cs="楷体_GB2312"/>
          <w:b w:val="0"/>
          <w:bCs/>
          <w:sz w:val="32"/>
          <w:szCs w:val="22"/>
          <w:highlight w:val="none"/>
          <w:lang w:val="en-US" w:eastAsia="zh-CN" w:bidi="ar-SA"/>
        </w:rPr>
        <w:t>（一）报价要求</w:t>
      </w:r>
      <w:bookmarkEnd w:id="126"/>
      <w:bookmarkEnd w:id="127"/>
      <w:bookmarkEnd w:id="128"/>
    </w:p>
    <w:p w14:paraId="24F7B6BD">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各申报企业进行一轮报价，</w:t>
      </w:r>
      <w:r>
        <w:rPr>
          <w:rFonts w:hint="eastAsia" w:ascii="仿宋_GB2312" w:hAnsi="仿宋_GB2312" w:eastAsia="仿宋_GB2312" w:cs="仿宋_GB2312"/>
          <w:color w:val="auto"/>
          <w:sz w:val="32"/>
          <w:szCs w:val="32"/>
          <w:highlight w:val="none"/>
          <w:u w:val="none"/>
          <w:lang w:eastAsia="zh-CN"/>
        </w:rPr>
        <w:t>每家企业</w:t>
      </w:r>
      <w:r>
        <w:rPr>
          <w:rFonts w:hint="eastAsia" w:ascii="仿宋_GB2312" w:hAnsi="仿宋_GB2312" w:eastAsia="仿宋_GB2312" w:cs="仿宋_GB2312"/>
          <w:color w:val="auto"/>
          <w:sz w:val="32"/>
          <w:szCs w:val="32"/>
          <w:highlight w:val="none"/>
          <w:u w:val="none"/>
          <w:lang w:val="en-US" w:eastAsia="zh-CN"/>
        </w:rPr>
        <w:t>每个产品分类</w:t>
      </w:r>
      <w:r>
        <w:rPr>
          <w:rFonts w:hint="eastAsia" w:ascii="仿宋_GB2312" w:hAnsi="仿宋_GB2312" w:eastAsia="仿宋_GB2312" w:cs="仿宋_GB2312"/>
          <w:color w:val="auto"/>
          <w:sz w:val="32"/>
          <w:szCs w:val="32"/>
          <w:highlight w:val="none"/>
          <w:u w:val="none"/>
          <w:lang w:eastAsia="zh-CN"/>
        </w:rPr>
        <w:t>只能申报一个价格</w:t>
      </w:r>
      <w:r>
        <w:rPr>
          <w:rFonts w:hint="eastAsia" w:ascii="仿宋_GB2312" w:hAnsi="仿宋_GB2312" w:eastAsia="仿宋_GB2312" w:cs="仿宋_GB2312"/>
          <w:spacing w:val="-1"/>
          <w:sz w:val="32"/>
          <w:szCs w:val="32"/>
          <w:highlight w:val="none"/>
          <w:lang w:val="en-US" w:eastAsia="zh-CN"/>
        </w:rPr>
        <w:t>。企业报价须同时满足以下条件：</w:t>
      </w:r>
    </w:p>
    <w:p w14:paraId="505BFB8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1.不得高于最高有效申报价；</w:t>
      </w:r>
    </w:p>
    <w:p w14:paraId="0B918B8F">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default"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2.不得高于本企业全国现行有效最低省级挂网价及福建省医疗机构近一年最低采购价。</w:t>
      </w:r>
    </w:p>
    <w:p w14:paraId="057498F0">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3.不得高于本企业地市级（含联盟）及以上集中采购（含带量采购）价格；曾中选产品若已调低价格的，则不高于调低后的价格。</w:t>
      </w:r>
    </w:p>
    <w:p w14:paraId="5497DB9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如中选，本企业所有申报产品按此报价进行供应。</w:t>
      </w:r>
    </w:p>
    <w:p w14:paraId="7523CC33">
      <w:pPr>
        <w:pStyle w:val="8"/>
        <w:keepNext w:val="0"/>
        <w:keepLines w:val="0"/>
        <w:pageBreakBefore w:val="0"/>
        <w:widowControl w:val="0"/>
        <w:numPr>
          <w:ilvl w:val="0"/>
          <w:numId w:val="2"/>
        </w:numPr>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r>
        <w:rPr>
          <w:rFonts w:hint="eastAsia" w:ascii="楷体_GB2312" w:hAnsi="楷体_GB2312" w:eastAsia="楷体_GB2312" w:cs="楷体_GB2312"/>
          <w:b w:val="0"/>
          <w:bCs/>
          <w:sz w:val="32"/>
          <w:szCs w:val="22"/>
          <w:highlight w:val="none"/>
          <w:lang w:val="en-US" w:eastAsia="zh-CN" w:bidi="ar-SA"/>
        </w:rPr>
        <w:t>分组规则</w:t>
      </w:r>
    </w:p>
    <w:p w14:paraId="1D194A54">
      <w:pPr>
        <w:pStyle w:val="8"/>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169" w:rightChars="-77" w:firstLine="636" w:firstLineChars="200"/>
        <w:jc w:val="left"/>
        <w:textAlignment w:val="auto"/>
        <w:outlineLvl w:val="2"/>
        <w:rPr>
          <w:rFonts w:hint="default" w:ascii="仿宋_GB2312" w:hAnsi="仿宋_GB2312" w:eastAsia="仿宋_GB2312" w:cs="仿宋_GB2312"/>
          <w:spacing w:val="-1"/>
          <w:sz w:val="32"/>
          <w:szCs w:val="32"/>
          <w:highlight w:val="none"/>
          <w:lang w:val="en-US" w:eastAsia="zh-CN"/>
        </w:rPr>
      </w:pPr>
      <w:r>
        <w:rPr>
          <w:rFonts w:hint="default" w:ascii="仿宋_GB2312" w:hAnsi="仿宋_GB2312" w:eastAsia="仿宋_GB2312" w:cs="仿宋_GB2312"/>
          <w:spacing w:val="-1"/>
          <w:sz w:val="32"/>
          <w:szCs w:val="32"/>
          <w:highlight w:val="none"/>
          <w:lang w:val="en-US" w:eastAsia="zh-CN"/>
        </w:rPr>
        <w:t>同一申报企业所有申报产品的医疗机构采购需求量加总求和后，按照从大到小依次排序，根据下列规则划分为2个竞价单元（具体竞价单元划分情况将根据工作流程在相应阶段</w:t>
      </w:r>
      <w:r>
        <w:rPr>
          <w:rFonts w:hint="eastAsia" w:ascii="仿宋_GB2312" w:hAnsi="仿宋_GB2312" w:eastAsia="仿宋_GB2312" w:cs="仿宋_GB2312"/>
          <w:spacing w:val="-1"/>
          <w:sz w:val="32"/>
          <w:szCs w:val="32"/>
          <w:highlight w:val="none"/>
          <w:lang w:val="en-US" w:eastAsia="zh-CN"/>
        </w:rPr>
        <w:t>公布</w:t>
      </w:r>
      <w:r>
        <w:rPr>
          <w:rFonts w:hint="default" w:ascii="仿宋_GB2312" w:hAnsi="仿宋_GB2312" w:eastAsia="仿宋_GB2312" w:cs="仿宋_GB2312"/>
          <w:spacing w:val="-1"/>
          <w:sz w:val="32"/>
          <w:szCs w:val="32"/>
          <w:highlight w:val="none"/>
          <w:lang w:val="en-US" w:eastAsia="zh-CN"/>
        </w:rPr>
        <w:t>）：</w:t>
      </w:r>
    </w:p>
    <w:p w14:paraId="23BE34DD">
      <w:pPr>
        <w:pStyle w:val="8"/>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firstLine="636" w:firstLineChars="200"/>
        <w:jc w:val="left"/>
        <w:textAlignment w:val="auto"/>
        <w:outlineLvl w:val="2"/>
        <w:rPr>
          <w:rFonts w:hint="default" w:ascii="仿宋_GB2312" w:hAnsi="仿宋_GB2312" w:eastAsia="仿宋_GB2312" w:cs="仿宋_GB2312"/>
          <w:spacing w:val="-1"/>
          <w:sz w:val="32"/>
          <w:szCs w:val="32"/>
          <w:highlight w:val="none"/>
          <w:lang w:val="en-US" w:eastAsia="zh-CN"/>
        </w:rPr>
      </w:pPr>
      <w:r>
        <w:rPr>
          <w:rFonts w:hint="default" w:ascii="仿宋_GB2312" w:hAnsi="仿宋_GB2312" w:eastAsia="仿宋_GB2312" w:cs="仿宋_GB2312"/>
          <w:spacing w:val="-1"/>
          <w:sz w:val="32"/>
          <w:szCs w:val="32"/>
          <w:highlight w:val="none"/>
          <w:lang w:val="en-US" w:eastAsia="zh-CN"/>
        </w:rPr>
        <w:t>竞价单元1：累计采购需求量前</w:t>
      </w:r>
      <w:r>
        <w:rPr>
          <w:rFonts w:hint="eastAsia" w:ascii="仿宋_GB2312" w:hAnsi="仿宋_GB2312" w:eastAsia="仿宋_GB2312" w:cs="仿宋_GB2312"/>
          <w:spacing w:val="-1"/>
          <w:sz w:val="32"/>
          <w:szCs w:val="32"/>
          <w:highlight w:val="none"/>
          <w:lang w:val="en-US" w:eastAsia="zh-CN"/>
        </w:rPr>
        <w:t>90</w:t>
      </w:r>
      <w:r>
        <w:rPr>
          <w:rFonts w:hint="default" w:ascii="仿宋_GB2312" w:hAnsi="仿宋_GB2312" w:eastAsia="仿宋_GB2312" w:cs="仿宋_GB2312"/>
          <w:spacing w:val="-1"/>
          <w:sz w:val="32"/>
          <w:szCs w:val="32"/>
          <w:highlight w:val="none"/>
          <w:lang w:val="en-US" w:eastAsia="zh-CN"/>
        </w:rPr>
        <w:t>%所涵盖的企业数，如涵盖的企业不足4家，按照采购需求量排序依序递补至4家；如涵盖企业超过</w:t>
      </w:r>
      <w:r>
        <w:rPr>
          <w:rFonts w:hint="eastAsia" w:ascii="仿宋_GB2312" w:hAnsi="仿宋_GB2312" w:eastAsia="仿宋_GB2312" w:cs="仿宋_GB2312"/>
          <w:spacing w:val="-1"/>
          <w:sz w:val="32"/>
          <w:szCs w:val="32"/>
          <w:highlight w:val="none"/>
          <w:lang w:val="en-US" w:eastAsia="zh-CN"/>
        </w:rPr>
        <w:t>6</w:t>
      </w:r>
      <w:r>
        <w:rPr>
          <w:rFonts w:hint="default" w:ascii="仿宋_GB2312" w:hAnsi="仿宋_GB2312" w:eastAsia="仿宋_GB2312" w:cs="仿宋_GB2312"/>
          <w:spacing w:val="-1"/>
          <w:sz w:val="32"/>
          <w:szCs w:val="32"/>
          <w:highlight w:val="none"/>
          <w:lang w:val="en-US" w:eastAsia="zh-CN"/>
        </w:rPr>
        <w:t>家，则采购需求量从大到小排序前</w:t>
      </w:r>
      <w:r>
        <w:rPr>
          <w:rFonts w:hint="eastAsia" w:ascii="仿宋_GB2312" w:hAnsi="仿宋_GB2312" w:eastAsia="仿宋_GB2312" w:cs="仿宋_GB2312"/>
          <w:spacing w:val="-1"/>
          <w:sz w:val="32"/>
          <w:szCs w:val="32"/>
          <w:highlight w:val="none"/>
          <w:lang w:val="en-US" w:eastAsia="zh-CN"/>
        </w:rPr>
        <w:t>6</w:t>
      </w:r>
      <w:r>
        <w:rPr>
          <w:rFonts w:hint="default" w:ascii="仿宋_GB2312" w:hAnsi="仿宋_GB2312" w:eastAsia="仿宋_GB2312" w:cs="仿宋_GB2312"/>
          <w:spacing w:val="-1"/>
          <w:sz w:val="32"/>
          <w:szCs w:val="32"/>
          <w:highlight w:val="none"/>
          <w:lang w:val="en-US" w:eastAsia="zh-CN"/>
        </w:rPr>
        <w:t>家企业纳入竞价单元1，其余企业纳入竞价单元2。</w:t>
      </w:r>
    </w:p>
    <w:p w14:paraId="58A6C96D">
      <w:pPr>
        <w:pStyle w:val="8"/>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firstLine="636" w:firstLineChars="200"/>
        <w:jc w:val="left"/>
        <w:textAlignment w:val="auto"/>
        <w:outlineLvl w:val="2"/>
        <w:rPr>
          <w:rFonts w:hint="default" w:ascii="仿宋_GB2312" w:hAnsi="仿宋_GB2312" w:eastAsia="仿宋_GB2312" w:cs="仿宋_GB2312"/>
          <w:spacing w:val="-1"/>
          <w:sz w:val="32"/>
          <w:szCs w:val="32"/>
          <w:highlight w:val="none"/>
          <w:lang w:val="en-US" w:eastAsia="zh-CN"/>
        </w:rPr>
      </w:pPr>
      <w:r>
        <w:rPr>
          <w:rFonts w:hint="default" w:ascii="仿宋_GB2312" w:hAnsi="仿宋_GB2312" w:eastAsia="仿宋_GB2312" w:cs="仿宋_GB2312"/>
          <w:spacing w:val="-1"/>
          <w:sz w:val="32"/>
          <w:szCs w:val="32"/>
          <w:highlight w:val="none"/>
          <w:lang w:val="en-US" w:eastAsia="zh-CN"/>
        </w:rPr>
        <w:t>竞价单元2：纳入竞价单元1以外的申报企业。如竞价单元2的企业家数不足4家，并入竞价单元1，竞价单元2取消。</w:t>
      </w:r>
    </w:p>
    <w:tbl>
      <w:tblPr>
        <w:tblStyle w:val="16"/>
        <w:tblpPr w:leftFromText="180" w:rightFromText="180" w:vertAnchor="text" w:horzAnchor="page" w:tblpX="1580" w:tblpY="555"/>
        <w:tblOverlap w:val="never"/>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7"/>
        <w:gridCol w:w="1684"/>
        <w:gridCol w:w="1793"/>
        <w:gridCol w:w="2966"/>
      </w:tblGrid>
      <w:tr w14:paraId="3298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5B1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品种</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637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分类</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022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最小竞价单元</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5391">
            <w:pPr>
              <w:keepNext w:val="0"/>
              <w:keepLines w:val="0"/>
              <w:widowControl/>
              <w:suppressLineNumbers w:val="0"/>
              <w:jc w:val="center"/>
              <w:textAlignment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最高有效申报价（元）</w:t>
            </w:r>
          </w:p>
        </w:tc>
      </w:tr>
      <w:tr w14:paraId="63C7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2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1F96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一次性使用高压造影注射器及附件</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CA1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单筒</w:t>
            </w:r>
          </w:p>
        </w:tc>
        <w:tc>
          <w:tcPr>
            <w:tcW w:w="1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0C51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套</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2D7A">
            <w:pPr>
              <w:jc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75.33</w:t>
            </w:r>
          </w:p>
        </w:tc>
      </w:tr>
      <w:tr w14:paraId="279B8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2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213EC">
            <w:pPr>
              <w:jc w:val="center"/>
              <w:rPr>
                <w:rFonts w:hint="eastAsia" w:ascii="仿宋_GB2312" w:hAnsi="仿宋_GB2312" w:eastAsia="仿宋_GB2312" w:cs="仿宋_GB2312"/>
                <w:i w:val="0"/>
                <w:iCs w:val="0"/>
                <w:color w:val="000000"/>
                <w:sz w:val="20"/>
                <w:szCs w:val="20"/>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159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双筒</w:t>
            </w:r>
          </w:p>
        </w:tc>
        <w:tc>
          <w:tcPr>
            <w:tcW w:w="1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45434">
            <w:pPr>
              <w:jc w:val="center"/>
              <w:rPr>
                <w:rFonts w:hint="eastAsia" w:ascii="仿宋_GB2312" w:hAnsi="仿宋_GB2312" w:eastAsia="仿宋_GB2312" w:cs="仿宋_GB2312"/>
                <w:i w:val="0"/>
                <w:iCs w:val="0"/>
                <w:color w:val="000000"/>
                <w:sz w:val="20"/>
                <w:szCs w:val="20"/>
                <w:highlight w:val="none"/>
                <w:u w:val="none"/>
              </w:rPr>
            </w:pP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8466">
            <w:pPr>
              <w:jc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87.07</w:t>
            </w:r>
          </w:p>
        </w:tc>
      </w:tr>
      <w:tr w14:paraId="3CE2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2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A0EC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输液接头</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F2B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正压</w:t>
            </w:r>
          </w:p>
        </w:tc>
        <w:tc>
          <w:tcPr>
            <w:tcW w:w="1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3B82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个</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FBD1">
            <w:pPr>
              <w:jc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14.73</w:t>
            </w:r>
          </w:p>
        </w:tc>
      </w:tr>
      <w:tr w14:paraId="33A3D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1B513">
            <w:pPr>
              <w:jc w:val="center"/>
              <w:rPr>
                <w:rFonts w:hint="eastAsia" w:ascii="仿宋_GB2312" w:hAnsi="仿宋_GB2312" w:eastAsia="仿宋_GB2312" w:cs="仿宋_GB2312"/>
                <w:i w:val="0"/>
                <w:iCs w:val="0"/>
                <w:color w:val="000000"/>
                <w:sz w:val="20"/>
                <w:szCs w:val="20"/>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B8E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非正压</w:t>
            </w:r>
          </w:p>
        </w:tc>
        <w:tc>
          <w:tcPr>
            <w:tcW w:w="1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A37C6">
            <w:pPr>
              <w:jc w:val="center"/>
              <w:rPr>
                <w:rFonts w:hint="eastAsia" w:ascii="仿宋_GB2312" w:hAnsi="仿宋_GB2312" w:eastAsia="仿宋_GB2312" w:cs="仿宋_GB2312"/>
                <w:i w:val="0"/>
                <w:iCs w:val="0"/>
                <w:color w:val="000000"/>
                <w:sz w:val="20"/>
                <w:szCs w:val="20"/>
                <w:highlight w:val="none"/>
                <w:u w:val="none"/>
              </w:rPr>
            </w:pP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53D3">
            <w:pPr>
              <w:jc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24.10</w:t>
            </w:r>
          </w:p>
        </w:tc>
      </w:tr>
    </w:tbl>
    <w:p w14:paraId="233609B8">
      <w:pPr>
        <w:pStyle w:val="8"/>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right="0" w:rightChars="0"/>
        <w:jc w:val="left"/>
        <w:textAlignment w:val="auto"/>
        <w:outlineLvl w:val="2"/>
        <w:rPr>
          <w:rFonts w:hint="default" w:ascii="楷体_GB2312" w:hAnsi="楷体_GB2312" w:eastAsia="楷体_GB2312" w:cs="楷体_GB2312"/>
          <w:b w:val="0"/>
          <w:bCs/>
          <w:sz w:val="32"/>
          <w:szCs w:val="22"/>
          <w:highlight w:val="none"/>
          <w:lang w:val="en-US" w:eastAsia="zh-CN" w:bidi="ar-SA"/>
        </w:rPr>
      </w:pPr>
    </w:p>
    <w:p w14:paraId="3F109DC6">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29" w:name="_Toc1809027457"/>
      <w:bookmarkStart w:id="130" w:name="_Toc1573809393"/>
      <w:bookmarkStart w:id="131" w:name="_Toc1324560428"/>
      <w:bookmarkStart w:id="132" w:name="_Toc1598550688"/>
      <w:bookmarkStart w:id="133" w:name="_Toc12812"/>
      <w:r>
        <w:rPr>
          <w:rFonts w:hint="eastAsia" w:ascii="楷体_GB2312" w:hAnsi="楷体_GB2312" w:eastAsia="楷体_GB2312" w:cs="楷体_GB2312"/>
          <w:b w:val="0"/>
          <w:bCs/>
          <w:sz w:val="32"/>
          <w:szCs w:val="22"/>
          <w:highlight w:val="none"/>
          <w:lang w:val="en-US" w:eastAsia="zh-CN" w:bidi="ar-SA"/>
        </w:rPr>
        <w:t>（三）</w:t>
      </w:r>
      <w:bookmarkEnd w:id="129"/>
      <w:bookmarkEnd w:id="130"/>
      <w:bookmarkEnd w:id="131"/>
      <w:bookmarkEnd w:id="132"/>
      <w:bookmarkEnd w:id="133"/>
      <w:r>
        <w:rPr>
          <w:rFonts w:hint="eastAsia" w:ascii="楷体_GB2312" w:hAnsi="楷体_GB2312" w:eastAsia="楷体_GB2312" w:cs="楷体_GB2312"/>
          <w:b w:val="0"/>
          <w:bCs/>
          <w:sz w:val="32"/>
          <w:szCs w:val="22"/>
          <w:highlight w:val="none"/>
          <w:lang w:val="en-US" w:eastAsia="zh-CN" w:bidi="ar-SA"/>
        </w:rPr>
        <w:t>企业降幅及排名</w:t>
      </w:r>
    </w:p>
    <w:p w14:paraId="0612BDDC">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1.企业降幅（按百分比计算）</w:t>
      </w:r>
    </w:p>
    <w:p w14:paraId="2695FB1A">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企业降幅按企业报价与最高有效申报价进行比较计算。</w:t>
      </w:r>
    </w:p>
    <w:p w14:paraId="394FB5F8">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0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sz w:val="30"/>
          <w:szCs w:val="30"/>
          <w:highlight w:val="none"/>
        </w:rPr>
        <mc:AlternateContent>
          <mc:Choice Requires="wps">
            <w:drawing>
              <wp:anchor distT="0" distB="0" distL="114300" distR="114300" simplePos="0" relativeHeight="251678720" behindDoc="0" locked="0" layoutInCell="1" allowOverlap="1">
                <wp:simplePos x="0" y="0"/>
                <wp:positionH relativeFrom="column">
                  <wp:posOffset>2215515</wp:posOffset>
                </wp:positionH>
                <wp:positionV relativeFrom="paragraph">
                  <wp:posOffset>74295</wp:posOffset>
                </wp:positionV>
                <wp:extent cx="2200275" cy="88138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2200275" cy="881380"/>
                        </a:xfrm>
                        <a:prstGeom prst="rect">
                          <a:avLst/>
                        </a:prstGeom>
                        <a:noFill/>
                        <a:ln>
                          <a:noFill/>
                        </a:ln>
                      </wps:spPr>
                      <wps:txbx>
                        <w:txbxContent>
                          <w:p w14:paraId="37026683">
                            <w:pPr>
                              <w:spacing w:before="19" w:line="196" w:lineRule="auto"/>
                              <w:ind w:left="20" w:firstLine="4256" w:firstLineChars="1600"/>
                              <w:rPr>
                                <w:rFonts w:ascii="仿宋" w:hAnsi="仿宋" w:eastAsia="仿宋" w:cs="仿宋"/>
                                <w:sz w:val="25"/>
                                <w:szCs w:val="25"/>
                                <w:highlight w:val="none"/>
                              </w:rPr>
                            </w:pPr>
                            <w:r>
                              <w:rPr>
                                <w:rFonts w:hint="eastAsia" w:cs="仿宋"/>
                                <w:spacing w:val="8"/>
                                <w:sz w:val="25"/>
                                <w:szCs w:val="25"/>
                                <w:highlight w:val="none"/>
                                <w:lang w:eastAsia="zh-CN"/>
                              </w:rPr>
                              <w:t>最最</w:t>
                            </w:r>
                            <w:r>
                              <w:rPr>
                                <w:rFonts w:hint="eastAsia" w:ascii="仿宋_GB2312" w:hAnsi="仿宋_GB2312" w:eastAsia="仿宋_GB2312" w:cs="仿宋_GB2312"/>
                                <w:spacing w:val="8"/>
                                <w:sz w:val="25"/>
                                <w:szCs w:val="25"/>
                                <w:highlight w:val="none"/>
                                <w:lang w:eastAsia="zh-CN"/>
                              </w:rPr>
                              <w:t>高有效申</w:t>
                            </w:r>
                            <w:r>
                              <w:rPr>
                                <w:rFonts w:hint="eastAsia" w:ascii="仿宋_GB2312" w:hAnsi="仿宋_GB2312" w:eastAsia="仿宋_GB2312" w:cs="仿宋_GB2312"/>
                                <w:spacing w:val="8"/>
                                <w:sz w:val="25"/>
                                <w:szCs w:val="25"/>
                                <w:highlight w:val="none"/>
                              </w:rPr>
                              <w:t>报价</w:t>
                            </w:r>
                            <w:r>
                              <w:rPr>
                                <w:rFonts w:hint="eastAsia" w:ascii="仿宋_GB2312" w:hAnsi="仿宋_GB2312" w:eastAsia="仿宋_GB2312" w:cs="仿宋_GB2312"/>
                                <w:spacing w:val="8"/>
                                <w:sz w:val="25"/>
                                <w:szCs w:val="25"/>
                                <w:highlight w:val="none"/>
                                <w:lang w:val="en-US" w:eastAsia="zh-CN"/>
                              </w:rPr>
                              <w:t>-</w:t>
                            </w:r>
                            <w:r>
                              <w:rPr>
                                <w:rFonts w:hint="eastAsia" w:ascii="仿宋_GB2312" w:hAnsi="仿宋_GB2312" w:eastAsia="仿宋_GB2312" w:cs="仿宋_GB2312"/>
                                <w:spacing w:val="8"/>
                                <w:sz w:val="25"/>
                                <w:szCs w:val="25"/>
                                <w:highlight w:val="none"/>
                              </w:rPr>
                              <w:t>企业报价</w:t>
                            </w:r>
                          </w:p>
                        </w:txbxContent>
                      </wps:txbx>
                      <wps:bodyPr lIns="0" tIns="0" rIns="0" bIns="0" upright="1"/>
                    </wps:wsp>
                  </a:graphicData>
                </a:graphic>
              </wp:anchor>
            </w:drawing>
          </mc:Choice>
          <mc:Fallback>
            <w:pict>
              <v:shape id="_x0000_s1026" o:spid="_x0000_s1026" o:spt="202" type="#_x0000_t202" style="position:absolute;left:0pt;margin-left:174.45pt;margin-top:5.85pt;height:69.4pt;width:173.25pt;z-index:251678720;mso-width-relative:page;mso-height-relative:page;" filled="f" stroked="f" coordsize="21600,21600" o:gfxdata="UEsDBAoAAAAAAIdO4kAAAAAAAAAAAAAAAAAEAAAAZHJzL1BLAwQUAAAACACHTuJAQgULWdkAAAAK&#10;AQAADwAAAGRycy9kb3ducmV2LnhtbE2Py07DMBBF90j8gzVI7KgdaEIT4lQIwQoJkYYFSyd2E6vx&#10;OMTug7/vdAXLmXt050y5PrmRHcwcrEcJyUIAM9h5bbGX8NW83a2AhahQq9GjkfBrAqyr66tSFdof&#10;sTaHTewZlWAolIQhxqngPHSDcSos/GSQsq2fnYo0zj3XszpSuRv5vRAZd8oiXRjUZF4G0+02eyfh&#10;+RvrV/vz0X7W29o2TS7wPdtJeXuTiCdg0ZziHwwXfVKHipxav0cd2CjhYbnKCaUgeQRGQJanS2At&#10;LVKRAq9K/v+F6gxQSwMEFAAAAAgAh07iQPj5Sgq7AQAAdAMAAA4AAABkcnMvZTJvRG9jLnhtbK1T&#10;wY7TMBC9I/EPlu80bVZAFTVdCVWLkBAgLXyA69iNJdtjedwm/QH4A05cuPNd/Q7GbtOF5bIHLs5k&#10;ZvLmvTfO6nZ0lh1URAO+5YvZnDPlJXTG71r+5fPdiyVnmITvhAWvWn5UyG/Xz5+thtCoGnqwnYqM&#10;QDw2Q2h5n1Joqgplr5zAGQTlqaghOpHoNe6qLoqB0J2t6vn8VTVA7EIEqRApuzkX+QUxPgUQtDZS&#10;bUDunfLpjBqVFYkkYW8C8nVhq7WS6aPWqBKzLSelqZw0hOJtPqv1SjS7KEJv5IWCeAqFR5qcMJ6G&#10;XqE2Igm2j+YfKGdkBASdZhJcdRZSHCEVi/kjb+57EVTRQlZjuJqO/w9Wfjh8isx0La9vOPPC0cZP&#10;37+dfvw6/fzKKEcGDQEb6rsP1JnGNzDStZnySMmse9TR5ScpYlQne49Xe9WYmKRkTeuvX7/kTFJt&#10;uVzcLIv/1cPXIWJ6q8CxHLQ80vqKq+LwHhMxodapJQ/zcGesLSu0/q8ENeZMlamfKeYojdvxomcL&#10;3ZHk2HeezMwXYwriFGynYB+i2fVEp4gukLSMQuZycfK2/3wvgx9+lv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gULWdkAAAAKAQAADwAAAAAAAAABACAAAAAiAAAAZHJzL2Rvd25yZXYueG1sUEsB&#10;AhQAFAAAAAgAh07iQPj5Sgq7AQAAdAMAAA4AAAAAAAAAAQAgAAAAKAEAAGRycy9lMm9Eb2MueG1s&#10;UEsFBgAAAAAGAAYAWQEAAFUFAAAAAA==&#10;">
                <v:fill on="f" focussize="0,0"/>
                <v:stroke on="f"/>
                <v:imagedata o:title=""/>
                <o:lock v:ext="edit" aspectratio="f"/>
                <v:textbox inset="0mm,0mm,0mm,0mm">
                  <w:txbxContent>
                    <w:p w14:paraId="37026683">
                      <w:pPr>
                        <w:spacing w:before="19" w:line="196" w:lineRule="auto"/>
                        <w:ind w:left="20" w:firstLine="4256" w:firstLineChars="1600"/>
                        <w:rPr>
                          <w:rFonts w:ascii="仿宋" w:hAnsi="仿宋" w:eastAsia="仿宋" w:cs="仿宋"/>
                          <w:sz w:val="25"/>
                          <w:szCs w:val="25"/>
                          <w:highlight w:val="none"/>
                        </w:rPr>
                      </w:pPr>
                      <w:r>
                        <w:rPr>
                          <w:rFonts w:hint="eastAsia" w:cs="仿宋"/>
                          <w:spacing w:val="8"/>
                          <w:sz w:val="25"/>
                          <w:szCs w:val="25"/>
                          <w:highlight w:val="none"/>
                          <w:lang w:eastAsia="zh-CN"/>
                        </w:rPr>
                        <w:t>最最</w:t>
                      </w:r>
                      <w:r>
                        <w:rPr>
                          <w:rFonts w:hint="eastAsia" w:ascii="仿宋_GB2312" w:hAnsi="仿宋_GB2312" w:eastAsia="仿宋_GB2312" w:cs="仿宋_GB2312"/>
                          <w:spacing w:val="8"/>
                          <w:sz w:val="25"/>
                          <w:szCs w:val="25"/>
                          <w:highlight w:val="none"/>
                          <w:lang w:eastAsia="zh-CN"/>
                        </w:rPr>
                        <w:t>高有效申</w:t>
                      </w:r>
                      <w:r>
                        <w:rPr>
                          <w:rFonts w:hint="eastAsia" w:ascii="仿宋_GB2312" w:hAnsi="仿宋_GB2312" w:eastAsia="仿宋_GB2312" w:cs="仿宋_GB2312"/>
                          <w:spacing w:val="8"/>
                          <w:sz w:val="25"/>
                          <w:szCs w:val="25"/>
                          <w:highlight w:val="none"/>
                        </w:rPr>
                        <w:t>报价</w:t>
                      </w:r>
                      <w:r>
                        <w:rPr>
                          <w:rFonts w:hint="eastAsia" w:ascii="仿宋_GB2312" w:hAnsi="仿宋_GB2312" w:eastAsia="仿宋_GB2312" w:cs="仿宋_GB2312"/>
                          <w:spacing w:val="8"/>
                          <w:sz w:val="25"/>
                          <w:szCs w:val="25"/>
                          <w:highlight w:val="none"/>
                          <w:lang w:val="en-US" w:eastAsia="zh-CN"/>
                        </w:rPr>
                        <w:t>-</w:t>
                      </w:r>
                      <w:r>
                        <w:rPr>
                          <w:rFonts w:hint="eastAsia" w:ascii="仿宋_GB2312" w:hAnsi="仿宋_GB2312" w:eastAsia="仿宋_GB2312" w:cs="仿宋_GB2312"/>
                          <w:spacing w:val="8"/>
                          <w:sz w:val="25"/>
                          <w:szCs w:val="25"/>
                          <w:highlight w:val="none"/>
                        </w:rPr>
                        <w:t>企业报价</w:t>
                      </w:r>
                    </w:p>
                  </w:txbxContent>
                </v:textbox>
              </v:shape>
            </w:pict>
          </mc:Fallback>
        </mc:AlternateContent>
      </w:r>
    </w:p>
    <w:p w14:paraId="74B79CB4">
      <w:pPr>
        <w:spacing w:before="221" w:line="194" w:lineRule="auto"/>
        <w:ind w:left="1195"/>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7"/>
          <w:sz w:val="32"/>
          <w:szCs w:val="32"/>
          <w:highlight w:val="none"/>
        </w:rPr>
        <w:t>企业降幅</w:t>
      </w:r>
      <w:r>
        <w:rPr>
          <w:rFonts w:hint="eastAsia" w:ascii="仿宋_GB2312" w:hAnsi="仿宋_GB2312" w:eastAsia="仿宋_GB2312" w:cs="仿宋_GB2312"/>
          <w:spacing w:val="-7"/>
          <w:sz w:val="30"/>
          <w:szCs w:val="30"/>
          <w:highlight w:val="none"/>
        </w:rPr>
        <w:t>=</w:t>
      </w:r>
      <w:r>
        <w:rPr>
          <w:rFonts w:hint="eastAsia" w:ascii="仿宋_GB2312" w:hAnsi="仿宋_GB2312" w:eastAsia="仿宋_GB2312" w:cs="仿宋_GB2312"/>
          <w:strike/>
          <w:spacing w:val="4"/>
          <w:sz w:val="30"/>
          <w:szCs w:val="30"/>
          <w:highlight w:val="none"/>
        </w:rPr>
        <w:t xml:space="preserve">                             </w:t>
      </w:r>
      <w:r>
        <w:rPr>
          <w:rFonts w:hint="eastAsia" w:ascii="仿宋_GB2312" w:hAnsi="仿宋_GB2312" w:eastAsia="仿宋_GB2312" w:cs="仿宋_GB2312"/>
          <w:spacing w:val="-91"/>
          <w:sz w:val="30"/>
          <w:szCs w:val="30"/>
          <w:highlight w:val="none"/>
        </w:rPr>
        <w:t xml:space="preserve"> </w:t>
      </w:r>
      <w:r>
        <w:rPr>
          <w:rFonts w:hint="eastAsia" w:ascii="仿宋_GB2312" w:hAnsi="仿宋_GB2312" w:eastAsia="仿宋_GB2312" w:cs="仿宋_GB2312"/>
          <w:spacing w:val="-7"/>
          <w:sz w:val="32"/>
          <w:szCs w:val="32"/>
          <w:highlight w:val="none"/>
        </w:rPr>
        <w:t>×</w:t>
      </w:r>
      <w:r>
        <w:rPr>
          <w:rFonts w:hint="eastAsia" w:ascii="仿宋_GB2312" w:hAnsi="仿宋_GB2312" w:eastAsia="仿宋_GB2312" w:cs="仿宋_GB2312"/>
          <w:spacing w:val="-117"/>
          <w:sz w:val="32"/>
          <w:szCs w:val="32"/>
          <w:highlight w:val="none"/>
        </w:rPr>
        <w:t xml:space="preserve"> </w:t>
      </w:r>
      <w:r>
        <w:rPr>
          <w:rFonts w:hint="eastAsia" w:ascii="仿宋_GB2312" w:hAnsi="仿宋_GB2312" w:eastAsia="仿宋_GB2312" w:cs="仿宋_GB2312"/>
          <w:spacing w:val="-7"/>
          <w:sz w:val="32"/>
          <w:szCs w:val="32"/>
          <w:highlight w:val="none"/>
        </w:rPr>
        <w:t>100%</w:t>
      </w:r>
    </w:p>
    <w:p w14:paraId="61DDD94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0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sz w:val="30"/>
          <w:szCs w:val="30"/>
          <w:highlight w:val="none"/>
        </w:rPr>
        <mc:AlternateContent>
          <mc:Choice Requires="wps">
            <w:drawing>
              <wp:anchor distT="0" distB="0" distL="114300" distR="114300" simplePos="0" relativeHeight="251679744" behindDoc="0" locked="0" layoutInCell="1" allowOverlap="1">
                <wp:simplePos x="0" y="0"/>
                <wp:positionH relativeFrom="column">
                  <wp:posOffset>2588260</wp:posOffset>
                </wp:positionH>
                <wp:positionV relativeFrom="paragraph">
                  <wp:posOffset>110490</wp:posOffset>
                </wp:positionV>
                <wp:extent cx="1464310" cy="22923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464310" cy="229235"/>
                        </a:xfrm>
                        <a:prstGeom prst="rect">
                          <a:avLst/>
                        </a:prstGeom>
                        <a:noFill/>
                        <a:ln>
                          <a:noFill/>
                        </a:ln>
                      </wps:spPr>
                      <wps:txbx>
                        <w:txbxContent>
                          <w:p w14:paraId="7ECE0DCF">
                            <w:pPr>
                              <w:spacing w:before="20" w:line="229" w:lineRule="auto"/>
                              <w:ind w:left="20"/>
                              <w:rPr>
                                <w:rFonts w:ascii="仿宋" w:hAnsi="仿宋" w:eastAsia="仿宋" w:cs="仿宋"/>
                                <w:sz w:val="25"/>
                                <w:szCs w:val="25"/>
                                <w:highlight w:val="none"/>
                              </w:rPr>
                            </w:pPr>
                            <w:r>
                              <w:rPr>
                                <w:rFonts w:hint="eastAsia" w:ascii="仿宋_GB2312" w:hAnsi="仿宋_GB2312" w:eastAsia="仿宋_GB2312" w:cs="仿宋_GB2312"/>
                                <w:spacing w:val="6"/>
                                <w:sz w:val="25"/>
                                <w:szCs w:val="25"/>
                                <w:highlight w:val="none"/>
                              </w:rPr>
                              <w:t>最高有效申报</w:t>
                            </w:r>
                            <w:r>
                              <w:rPr>
                                <w:rFonts w:ascii="仿宋" w:hAnsi="仿宋" w:eastAsia="仿宋" w:cs="仿宋"/>
                                <w:spacing w:val="6"/>
                                <w:sz w:val="25"/>
                                <w:szCs w:val="25"/>
                                <w:highlight w:val="none"/>
                              </w:rPr>
                              <w:t>价</w:t>
                            </w:r>
                          </w:p>
                        </w:txbxContent>
                      </wps:txbx>
                      <wps:bodyPr lIns="0" tIns="0" rIns="0" bIns="0" upright="1"/>
                    </wps:wsp>
                  </a:graphicData>
                </a:graphic>
              </wp:anchor>
            </w:drawing>
          </mc:Choice>
          <mc:Fallback>
            <w:pict>
              <v:shape id="_x0000_s1026" o:spid="_x0000_s1026" o:spt="202" type="#_x0000_t202" style="position:absolute;left:0pt;margin-left:203.8pt;margin-top:8.7pt;height:18.05pt;width:115.3pt;z-index:251679744;mso-width-relative:page;mso-height-relative:page;" filled="f" stroked="f" coordsize="21600,21600" o:gfxdata="UEsDBAoAAAAAAIdO4kAAAAAAAAAAAAAAAAAEAAAAZHJzL1BLAwQUAAAACACHTuJAw60Fb9gAAAAJ&#10;AQAADwAAAGRycy9kb3ducmV2LnhtbE2Py07DMBBF90j8gzVI7KjdV9qGOBVCsEJCpGHRpRNPk6jx&#10;OMTug79nWMFydI/uPZNtr64XZxxD50nDdKJAINXedtRo+CxfH9YgQjRkTe8JNXxjgG1+e5OZ1PoL&#10;FXjexUZwCYXUaGhjHFIpQ92iM2HiByTODn50JvI5NtKO5sLlrpczpRLpTEe80JoBn1usj7uT0/C0&#10;p+Kl+3qvPopD0ZXlRtFbctT6/m6qHkFEvMY/GH71WR1ydqr8iWwQvYaFWiWMcrBagGAgma9nICoN&#10;y/kSZJ7J/x/kP1BLAwQUAAAACACHTuJAfKBT17oBAAB0AwAADgAAAGRycy9lMm9Eb2MueG1srVPN&#10;jtMwEL4j8Q6W79RtdllB1HQlVC1CQoC0uw/gOnZjyX8au036AvAGnLhw57n6HIydpoXlsgcuznhm&#10;/M1830yWt4M1ZC8hau8aupjNKZFO+Fa7bUMfH+5evaEkJu5abryTDT3ISG9XL18s+1DLynfetBII&#10;grhY96GhXUqhZiyKTloeZz5Ih0HlwfKEV9iyFniP6Nawaj6/Yb2HNoAXMkb0rscgPSHCcwC9UlrI&#10;tRc7K10aUUEanpBS7HSIdFW6VUqK9FmpKBMxDUWmqZxYBO1NPtlqyest8NBpcWqBP6eFJ5ws1w6L&#10;nqHWPHGyA/0PlNUCfPQqzYS3bCRSFEEWi/kTbe47HmThglLHcBY9/j9Y8Wn/BYhucRMqShy3OPHj&#10;92/HH7+OP78S9KFAfYg15t0HzEzDOz9g8uSP6My8BwU2f5ERwTjKezjLK4dERH50fXN9tcCQwFhV&#10;va2uXmcYdnkdIKb30luSjYYCjq+oyvcfYxpTp5RczPk7bUwZoXF/ORAze1hufWwxW2nYDCc+G98e&#10;kI754FDMvBiTAZOxmYxdAL3tsJ1CukDiMErfp8XJ0/7zXgpffpb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OtBW/YAAAACQEAAA8AAAAAAAAAAQAgAAAAIgAAAGRycy9kb3ducmV2LnhtbFBLAQIU&#10;ABQAAAAIAIdO4kB8oFPXugEAAHQDAAAOAAAAAAAAAAEAIAAAACcBAABkcnMvZTJvRG9jLnhtbFBL&#10;BQYAAAAABgAGAFkBAABTBQAAAAA=&#10;">
                <v:fill on="f" focussize="0,0"/>
                <v:stroke on="f"/>
                <v:imagedata o:title=""/>
                <o:lock v:ext="edit" aspectratio="f"/>
                <v:textbox inset="0mm,0mm,0mm,0mm">
                  <w:txbxContent>
                    <w:p w14:paraId="7ECE0DCF">
                      <w:pPr>
                        <w:spacing w:before="20" w:line="229" w:lineRule="auto"/>
                        <w:ind w:left="20"/>
                        <w:rPr>
                          <w:rFonts w:ascii="仿宋" w:hAnsi="仿宋" w:eastAsia="仿宋" w:cs="仿宋"/>
                          <w:sz w:val="25"/>
                          <w:szCs w:val="25"/>
                          <w:highlight w:val="none"/>
                        </w:rPr>
                      </w:pPr>
                      <w:r>
                        <w:rPr>
                          <w:rFonts w:hint="eastAsia" w:ascii="仿宋_GB2312" w:hAnsi="仿宋_GB2312" w:eastAsia="仿宋_GB2312" w:cs="仿宋_GB2312"/>
                          <w:spacing w:val="6"/>
                          <w:sz w:val="25"/>
                          <w:szCs w:val="25"/>
                          <w:highlight w:val="none"/>
                        </w:rPr>
                        <w:t>最高有效申报</w:t>
                      </w:r>
                      <w:r>
                        <w:rPr>
                          <w:rFonts w:ascii="仿宋" w:hAnsi="仿宋" w:eastAsia="仿宋" w:cs="仿宋"/>
                          <w:spacing w:val="6"/>
                          <w:sz w:val="25"/>
                          <w:szCs w:val="25"/>
                          <w:highlight w:val="none"/>
                        </w:rPr>
                        <w:t>价</w:t>
                      </w:r>
                    </w:p>
                  </w:txbxContent>
                </v:textbox>
              </v:shape>
            </w:pict>
          </mc:Fallback>
        </mc:AlternateContent>
      </w:r>
    </w:p>
    <w:p w14:paraId="5FDC7E5B">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2.企业排名</w:t>
      </w:r>
    </w:p>
    <w:p w14:paraId="57685461">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同竞价单元内，按照企业降幅由大到小进行企业排名，降幅最大的企业为第1名，降幅第二的企业为第2名，以此类推。当出现企业降幅相同的情况，按照以下规则依次确定排名：①未被我省信用评级的优先；</w:t>
      </w:r>
    </w:p>
    <w:p w14:paraId="6D38FAC6">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②我省采购需求量大的优先；③我省历史采购量大的优先。如仍无法确定优先级，则按照同一位次排名，排名同位次企业的处理办法相同。</w:t>
      </w:r>
    </w:p>
    <w:p w14:paraId="224B34D8">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default" w:ascii="楷体_GB2312" w:hAnsi="楷体_GB2312" w:eastAsia="楷体_GB2312" w:cs="楷体_GB2312"/>
          <w:b w:val="0"/>
          <w:bCs/>
          <w:sz w:val="32"/>
          <w:szCs w:val="22"/>
          <w:highlight w:val="none"/>
          <w:lang w:val="en-US" w:eastAsia="zh-CN" w:bidi="ar-SA"/>
        </w:rPr>
      </w:pPr>
      <w:r>
        <w:rPr>
          <w:rFonts w:hint="eastAsia" w:ascii="楷体_GB2312" w:hAnsi="楷体_GB2312" w:eastAsia="楷体_GB2312" w:cs="楷体_GB2312"/>
          <w:b w:val="0"/>
          <w:bCs/>
          <w:sz w:val="32"/>
          <w:szCs w:val="22"/>
          <w:highlight w:val="none"/>
          <w:lang w:val="en-US" w:eastAsia="zh-CN" w:bidi="ar-SA"/>
        </w:rPr>
        <w:t>（四）拟中选规则及协议采购量确定规则</w:t>
      </w:r>
    </w:p>
    <w:p w14:paraId="1324C7B2">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3" w:firstLineChars="200"/>
        <w:textAlignment w:val="auto"/>
        <w:outlineLvl w:val="2"/>
        <w:rPr>
          <w:rFonts w:hint="eastAsia" w:ascii="仿宋_GB2312" w:hAnsi="仿宋_GB2312" w:eastAsia="仿宋_GB2312" w:cs="仿宋_GB2312"/>
          <w:highlight w:val="none"/>
        </w:rPr>
      </w:pPr>
      <w:bookmarkStart w:id="134" w:name="_Toc15739"/>
      <w:bookmarkStart w:id="135" w:name="_Toc1820989246"/>
      <w:bookmarkStart w:id="136" w:name="_Toc1434251167"/>
      <w:bookmarkStart w:id="137" w:name="_Toc1448272884"/>
      <w:bookmarkStart w:id="138" w:name="_Toc250995573"/>
      <w:bookmarkStart w:id="139" w:name="_Toc353416298"/>
      <w:r>
        <w:rPr>
          <w:rFonts w:hint="eastAsia" w:ascii="仿宋_GB2312" w:hAnsi="仿宋_GB2312" w:eastAsia="仿宋_GB2312" w:cs="仿宋_GB2312"/>
          <w:b/>
          <w:bCs w:val="0"/>
          <w:sz w:val="32"/>
          <w:szCs w:val="22"/>
          <w:highlight w:val="none"/>
          <w:lang w:val="en-US" w:eastAsia="zh-CN" w:bidi="ar-SA"/>
        </w:rPr>
        <w:t>1.拟中选规则</w:t>
      </w:r>
      <w:bookmarkEnd w:id="134"/>
      <w:bookmarkEnd w:id="135"/>
      <w:bookmarkEnd w:id="136"/>
      <w:bookmarkEnd w:id="137"/>
      <w:bookmarkEnd w:id="138"/>
      <w:bookmarkEnd w:id="139"/>
      <w:bookmarkStart w:id="140" w:name="_Toc2102909841"/>
      <w:bookmarkStart w:id="141" w:name="_Toc31479"/>
      <w:bookmarkStart w:id="142" w:name="_Toc1184846055"/>
      <w:bookmarkStart w:id="143" w:name="_Toc1576804125"/>
      <w:bookmarkStart w:id="144" w:name="_Toc1474930519"/>
      <w:bookmarkStart w:id="145" w:name="_Toc824712703"/>
    </w:p>
    <w:p w14:paraId="33BBC518">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default" w:ascii="仿宋_GB2312" w:hAnsi="仿宋_GB2312" w:eastAsia="仿宋_GB2312" w:cs="仿宋_GB2312"/>
          <w:highlight w:val="none"/>
          <w:lang w:val="en-US" w:eastAsia="zh-CN"/>
        </w:rPr>
      </w:pPr>
      <w:r>
        <w:rPr>
          <w:rFonts w:hint="default" w:ascii="仿宋_GB2312" w:hAnsi="仿宋_GB2312" w:eastAsia="仿宋_GB2312" w:cs="仿宋_GB2312"/>
          <w:highlight w:val="none"/>
          <w:lang w:val="en-US" w:eastAsia="zh-CN"/>
        </w:rPr>
        <w:t>申报企业按下列规则进行淘汰，若拟中选，则该企业所有申报产品均拟中选。采购需求量涵盖但未按规定报价的企业按末位排名并占淘汰指标。</w:t>
      </w:r>
    </w:p>
    <w:p w14:paraId="26310541">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default" w:ascii="仿宋_GB2312" w:hAnsi="仿宋_GB2312" w:eastAsia="仿宋_GB2312" w:cs="仿宋_GB2312"/>
          <w:highlight w:val="none"/>
          <w:lang w:val="en-US" w:eastAsia="zh-CN"/>
        </w:rPr>
      </w:pPr>
      <w:r>
        <w:rPr>
          <w:rFonts w:hint="default" w:ascii="仿宋_GB2312" w:hAnsi="仿宋_GB2312" w:eastAsia="仿宋_GB2312" w:cs="仿宋_GB2312"/>
          <w:highlight w:val="none"/>
          <w:lang w:val="en-US" w:eastAsia="zh-CN"/>
        </w:rPr>
        <w:t>竞价单元1：淘汰本竞价单元企业排名最末位的企业，其余企业获得拟中选资格。满足以下条件的被淘汰企业仍可获得拟中选资格：</w:t>
      </w:r>
      <w:r>
        <w:rPr>
          <w:rFonts w:hint="eastAsia" w:ascii="仿宋_GB2312" w:hAnsi="仿宋_GB2312" w:eastAsia="仿宋_GB2312" w:cs="仿宋_GB2312"/>
          <w:highlight w:val="none"/>
          <w:lang w:val="en-US" w:eastAsia="zh-CN"/>
        </w:rPr>
        <w:t>企业承诺同意将报价调整为不高于本竞价单元企业报价的算术平均值（</w:t>
      </w:r>
      <w:r>
        <w:rPr>
          <w:rFonts w:hint="default" w:ascii="仿宋_GB2312" w:hAnsi="仿宋_GB2312" w:eastAsia="仿宋_GB2312" w:cs="仿宋_GB2312"/>
          <w:highlight w:val="none"/>
          <w:lang w:val="en-US" w:eastAsia="zh-CN"/>
        </w:rPr>
        <w:t>保留至小数点后</w:t>
      </w:r>
      <w:r>
        <w:rPr>
          <w:rFonts w:hint="eastAsia" w:ascii="仿宋_GB2312" w:hAnsi="仿宋_GB2312" w:eastAsia="仿宋_GB2312" w:cs="仿宋_GB2312"/>
          <w:highlight w:val="none"/>
          <w:lang w:val="en-US" w:eastAsia="zh-CN"/>
        </w:rPr>
        <w:t>2</w:t>
      </w:r>
      <w:r>
        <w:rPr>
          <w:rFonts w:hint="default" w:ascii="仿宋_GB2312" w:hAnsi="仿宋_GB2312" w:eastAsia="仿宋_GB2312" w:cs="仿宋_GB2312"/>
          <w:highlight w:val="none"/>
          <w:lang w:val="en-US" w:eastAsia="zh-CN"/>
        </w:rPr>
        <w:t>位，小数点后第</w:t>
      </w:r>
      <w:r>
        <w:rPr>
          <w:rFonts w:hint="eastAsia" w:ascii="仿宋_GB2312" w:hAnsi="仿宋_GB2312" w:eastAsia="仿宋_GB2312" w:cs="仿宋_GB2312"/>
          <w:highlight w:val="none"/>
          <w:lang w:val="en-US" w:eastAsia="zh-CN"/>
        </w:rPr>
        <w:t>3</w:t>
      </w:r>
      <w:r>
        <w:rPr>
          <w:rFonts w:hint="default" w:ascii="仿宋_GB2312" w:hAnsi="仿宋_GB2312" w:eastAsia="仿宋_GB2312" w:cs="仿宋_GB2312"/>
          <w:highlight w:val="none"/>
          <w:lang w:val="en-US" w:eastAsia="zh-CN"/>
        </w:rPr>
        <w:t>位直接舍去</w:t>
      </w:r>
      <w:r>
        <w:rPr>
          <w:rFonts w:hint="eastAsia" w:ascii="仿宋_GB2312" w:hAnsi="仿宋_GB2312" w:eastAsia="仿宋_GB2312" w:cs="仿宋_GB2312"/>
          <w:highlight w:val="none"/>
          <w:lang w:val="en-US" w:eastAsia="zh-CN"/>
        </w:rPr>
        <w:t>）。</w:t>
      </w:r>
    </w:p>
    <w:p w14:paraId="69A7918D">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default" w:ascii="仿宋_GB2312" w:hAnsi="仿宋_GB2312" w:eastAsia="仿宋_GB2312" w:cs="仿宋_GB2312"/>
          <w:highlight w:val="none"/>
          <w:lang w:val="en-US" w:eastAsia="zh-CN"/>
        </w:rPr>
      </w:pPr>
      <w:r>
        <w:rPr>
          <w:rFonts w:hint="default" w:ascii="仿宋_GB2312" w:hAnsi="仿宋_GB2312" w:eastAsia="仿宋_GB2312" w:cs="仿宋_GB2312"/>
          <w:highlight w:val="none"/>
          <w:lang w:val="en-US" w:eastAsia="zh-CN"/>
        </w:rPr>
        <w:t>竞价单元2：淘汰本竞价单元企业排名后50%的企业（如出现非整数则向下取整至个位），其余企业获得拟中选资格。</w:t>
      </w:r>
    </w:p>
    <w:p w14:paraId="64A5F85F">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3" w:firstLineChars="200"/>
        <w:textAlignment w:val="auto"/>
        <w:outlineLvl w:val="2"/>
        <w:rPr>
          <w:rFonts w:hint="eastAsia" w:ascii="仿宋_GB2312" w:hAnsi="仿宋_GB2312" w:eastAsia="仿宋_GB2312" w:cs="仿宋_GB2312"/>
          <w:b/>
          <w:bCs w:val="0"/>
          <w:sz w:val="32"/>
          <w:szCs w:val="22"/>
          <w:highlight w:val="none"/>
          <w:lang w:val="en-US" w:eastAsia="zh-CN" w:bidi="ar-SA"/>
        </w:rPr>
      </w:pPr>
      <w:r>
        <w:rPr>
          <w:rFonts w:hint="eastAsia" w:ascii="仿宋_GB2312" w:hAnsi="仿宋_GB2312" w:eastAsia="仿宋_GB2312" w:cs="仿宋_GB2312"/>
          <w:b/>
          <w:bCs w:val="0"/>
          <w:sz w:val="32"/>
          <w:szCs w:val="22"/>
          <w:highlight w:val="none"/>
          <w:lang w:val="en-US" w:eastAsia="zh-CN" w:bidi="ar-SA"/>
        </w:rPr>
        <w:t>2.拟中选结果公示</w:t>
      </w:r>
      <w:bookmarkEnd w:id="140"/>
      <w:bookmarkEnd w:id="141"/>
      <w:bookmarkEnd w:id="142"/>
      <w:bookmarkEnd w:id="143"/>
      <w:bookmarkEnd w:id="144"/>
      <w:bookmarkEnd w:id="145"/>
    </w:p>
    <w:p w14:paraId="519F9302">
      <w:pPr>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36" w:firstLineChars="200"/>
        <w:jc w:val="left"/>
        <w:textAlignment w:val="auto"/>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rPr>
        <w:t>拟中选结果产生后，予以公示并接受申投诉。</w:t>
      </w:r>
    </w:p>
    <w:p w14:paraId="1743A6CF">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3" w:firstLineChars="200"/>
        <w:textAlignment w:val="auto"/>
        <w:outlineLvl w:val="2"/>
        <w:rPr>
          <w:rFonts w:hint="eastAsia" w:ascii="仿宋_GB2312" w:hAnsi="仿宋_GB2312" w:eastAsia="仿宋_GB2312" w:cs="仿宋_GB2312"/>
          <w:b/>
          <w:bCs w:val="0"/>
          <w:sz w:val="32"/>
          <w:szCs w:val="22"/>
          <w:highlight w:val="none"/>
          <w:lang w:val="en-US" w:eastAsia="zh-CN" w:bidi="ar-SA"/>
        </w:rPr>
      </w:pPr>
      <w:bookmarkStart w:id="146" w:name="_Toc319835361"/>
      <w:bookmarkStart w:id="147" w:name="_Toc20568"/>
      <w:bookmarkStart w:id="148" w:name="_Toc1086941583"/>
      <w:bookmarkStart w:id="149" w:name="_Toc1398724895"/>
      <w:r>
        <w:rPr>
          <w:rFonts w:hint="eastAsia" w:ascii="仿宋_GB2312" w:hAnsi="仿宋_GB2312" w:eastAsia="仿宋_GB2312" w:cs="仿宋_GB2312"/>
          <w:b/>
          <w:bCs w:val="0"/>
          <w:sz w:val="32"/>
          <w:szCs w:val="22"/>
          <w:highlight w:val="none"/>
          <w:lang w:val="en-US" w:eastAsia="zh-CN" w:bidi="ar-SA"/>
        </w:rPr>
        <w:t>3.中选结果公布</w:t>
      </w:r>
      <w:bookmarkEnd w:id="146"/>
      <w:bookmarkEnd w:id="147"/>
      <w:bookmarkEnd w:id="148"/>
      <w:bookmarkEnd w:id="149"/>
    </w:p>
    <w:p w14:paraId="15872615">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拟中选结果公示无异议后，中选结果在</w:t>
      </w:r>
      <w:r>
        <w:rPr>
          <w:rFonts w:hint="eastAsia" w:ascii="仿宋_GB2312" w:hAnsi="仿宋_GB2312" w:eastAsia="仿宋_GB2312" w:cs="仿宋_GB2312"/>
          <w:highlight w:val="none"/>
          <w:lang w:val="en-US" w:eastAsia="zh-CN"/>
        </w:rPr>
        <w:t>龙岩市</w:t>
      </w:r>
      <w:r>
        <w:rPr>
          <w:rFonts w:hint="eastAsia" w:ascii="仿宋_GB2312" w:hAnsi="仿宋_GB2312" w:eastAsia="仿宋_GB2312" w:cs="仿宋_GB2312"/>
          <w:highlight w:val="none"/>
        </w:rPr>
        <w:t>医疗保障局官网公布。</w:t>
      </w:r>
    </w:p>
    <w:p w14:paraId="0313BB93">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3" w:firstLineChars="200"/>
        <w:textAlignment w:val="auto"/>
        <w:outlineLvl w:val="2"/>
        <w:rPr>
          <w:rFonts w:hint="eastAsia" w:ascii="仿宋_GB2312" w:hAnsi="仿宋_GB2312" w:eastAsia="仿宋_GB2312" w:cs="仿宋_GB2312"/>
          <w:b/>
          <w:bCs w:val="0"/>
          <w:sz w:val="32"/>
          <w:szCs w:val="22"/>
          <w:highlight w:val="none"/>
          <w:lang w:val="en-US" w:eastAsia="zh-CN" w:bidi="ar-SA"/>
        </w:rPr>
      </w:pPr>
      <w:bookmarkStart w:id="150" w:name="_Toc24362"/>
      <w:bookmarkStart w:id="151" w:name="_Toc321343886"/>
      <w:bookmarkStart w:id="152" w:name="_Toc1731284099"/>
      <w:bookmarkStart w:id="153" w:name="_Toc1076475870"/>
      <w:bookmarkStart w:id="154" w:name="_Toc2013310203"/>
      <w:bookmarkStart w:id="155" w:name="_Toc928767780"/>
      <w:r>
        <w:rPr>
          <w:rFonts w:hint="eastAsia" w:ascii="仿宋_GB2312" w:hAnsi="仿宋_GB2312" w:eastAsia="仿宋_GB2312" w:cs="仿宋_GB2312"/>
          <w:b/>
          <w:bCs w:val="0"/>
          <w:sz w:val="32"/>
          <w:szCs w:val="22"/>
          <w:highlight w:val="none"/>
          <w:lang w:val="en-US" w:eastAsia="zh-CN" w:bidi="ar-SA"/>
        </w:rPr>
        <w:t>4.协议采购量确定</w:t>
      </w:r>
      <w:bookmarkEnd w:id="150"/>
      <w:bookmarkEnd w:id="151"/>
      <w:bookmarkEnd w:id="152"/>
      <w:bookmarkEnd w:id="153"/>
      <w:bookmarkEnd w:id="154"/>
      <w:bookmarkEnd w:id="155"/>
    </w:p>
    <w:p w14:paraId="77FA223C">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由参与本次联盟采购的医疗机构在中选企业中自行选择分配并登录联盟集采网址完成协议量确认工作。</w:t>
      </w:r>
    </w:p>
    <w:p w14:paraId="16B01920">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将竞价单元1排名末两位中选企业的采购需求量纳入调量范围，最末位、次末位企业分别调出各自申报产品采购需求量的30%、20%作为调出分配量。未中选企业100%的需求量和中选企业调出分配量组成剩余采购需求量，由医疗机构在不纳入调量范围的中选产品（不区分竞价单元）中进行自主分配确认。</w:t>
      </w:r>
    </w:p>
    <w:p w14:paraId="28266E0F">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中选产品协议采购量构成如下：</w:t>
      </w:r>
    </w:p>
    <w:p w14:paraId="16A439F4">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（1）不纳入调量范围的中选企业，其协议采购量由两部分构成：一是医疗机构申报的采购需求量；二是医疗机构在剩余采购需求量中选择分配的采购需求量。</w:t>
      </w:r>
    </w:p>
    <w:p w14:paraId="61C921F5">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（2）纳入调量范围的中选企业，按医疗机构申报的采购需求量扣除调出分配量作为协议采购量。</w:t>
      </w:r>
    </w:p>
    <w:p w14:paraId="6793722C">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56" w:name="四、采购与配送"/>
      <w:bookmarkEnd w:id="156"/>
      <w:bookmarkStart w:id="157" w:name="_Toc903294936"/>
      <w:bookmarkStart w:id="158" w:name="_Toc7300"/>
      <w:bookmarkStart w:id="159" w:name="_Toc1952239689"/>
      <w:bookmarkStart w:id="160" w:name="_Toc1435918690"/>
      <w:bookmarkStart w:id="161" w:name="_Toc63437395"/>
      <w:r>
        <w:rPr>
          <w:rFonts w:hint="eastAsia" w:ascii="黑体" w:hAnsi="黑体" w:eastAsia="黑体" w:cs="黑体"/>
          <w:b w:val="0"/>
          <w:bCs w:val="0"/>
          <w:highlight w:val="none"/>
          <w:lang w:val="en-US" w:eastAsia="zh-CN"/>
        </w:rPr>
        <w:t>四、采购与配送</w:t>
      </w:r>
      <w:bookmarkEnd w:id="157"/>
      <w:bookmarkEnd w:id="158"/>
      <w:bookmarkEnd w:id="159"/>
      <w:bookmarkEnd w:id="160"/>
      <w:bookmarkEnd w:id="161"/>
    </w:p>
    <w:p w14:paraId="43B77623">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62" w:name="_Toc64197844"/>
      <w:bookmarkStart w:id="163" w:name="_Toc2037294157"/>
      <w:bookmarkStart w:id="164" w:name="_Toc8954"/>
      <w:r>
        <w:rPr>
          <w:rFonts w:hint="eastAsia" w:ascii="楷体_GB2312" w:hAnsi="楷体_GB2312" w:eastAsia="楷体_GB2312" w:cs="楷体_GB2312"/>
          <w:b w:val="0"/>
          <w:bCs/>
          <w:sz w:val="32"/>
          <w:szCs w:val="22"/>
          <w:highlight w:val="none"/>
          <w:lang w:val="en-US" w:eastAsia="zh-CN" w:bidi="ar-SA"/>
        </w:rPr>
        <w:t>（一）签订带量购销合同</w:t>
      </w:r>
      <w:bookmarkEnd w:id="162"/>
      <w:bookmarkEnd w:id="163"/>
      <w:bookmarkEnd w:id="164"/>
    </w:p>
    <w:p w14:paraId="767AD9C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1.各中选企业应按照中选产品、中选价格及协议采购量与配送企业、医疗机构签订带量购销合同，并严格履行购销合同，切实保障医用耗材质量和供应。</w:t>
      </w:r>
    </w:p>
    <w:p w14:paraId="2D19617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2.购销合同签订后，医疗机构与中选企业不得再订立背离合同实质性内容的其他协议或提出除合同之外的任何利益性要求。</w:t>
      </w:r>
    </w:p>
    <w:p w14:paraId="761196F2">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65" w:name="_Toc936373314"/>
      <w:bookmarkStart w:id="166" w:name="_Toc8248"/>
      <w:bookmarkStart w:id="167" w:name="_Toc1323628931"/>
      <w:r>
        <w:rPr>
          <w:rFonts w:hint="eastAsia" w:ascii="楷体_GB2312" w:hAnsi="楷体_GB2312" w:eastAsia="楷体_GB2312" w:cs="楷体_GB2312"/>
          <w:b w:val="0"/>
          <w:bCs/>
          <w:sz w:val="32"/>
          <w:szCs w:val="22"/>
          <w:highlight w:val="none"/>
          <w:lang w:val="en-US" w:eastAsia="zh-CN" w:bidi="ar-SA"/>
        </w:rPr>
        <w:t>（二）医用耗材配送</w:t>
      </w:r>
      <w:bookmarkEnd w:id="165"/>
      <w:bookmarkEnd w:id="166"/>
      <w:bookmarkEnd w:id="167"/>
    </w:p>
    <w:p w14:paraId="7CF76BBD">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1.各中选企业应确保产品质量，保证供应配送，按不低于集中带量采购前水平提供中选产品配套设施及伴随服务，以保障正常临床医疗工作开展。</w:t>
      </w:r>
    </w:p>
    <w:p w14:paraId="5636871E">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68" w:name="_Toc866123182"/>
      <w:bookmarkStart w:id="169" w:name="_Toc448344044"/>
      <w:bookmarkStart w:id="170" w:name="_Toc21006"/>
      <w:bookmarkStart w:id="171" w:name="_Toc1517613483"/>
      <w:r>
        <w:rPr>
          <w:rFonts w:hint="eastAsia" w:ascii="楷体_GB2312" w:hAnsi="楷体_GB2312" w:eastAsia="楷体_GB2312" w:cs="楷体_GB2312"/>
          <w:b w:val="0"/>
          <w:bCs/>
          <w:sz w:val="32"/>
          <w:szCs w:val="22"/>
          <w:highlight w:val="none"/>
          <w:lang w:val="en-US" w:eastAsia="zh-CN" w:bidi="ar-SA"/>
        </w:rPr>
        <w:t>（1）配套设施</w:t>
      </w:r>
      <w:bookmarkEnd w:id="168"/>
      <w:bookmarkEnd w:id="169"/>
      <w:bookmarkEnd w:id="170"/>
      <w:bookmarkEnd w:id="171"/>
    </w:p>
    <w:p w14:paraId="43E9B65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若存在系统对接的相关事项，由中选企业与医疗机构协商解决，鼓励医疗机构协调院内系统承建商免费提供系统对接。</w:t>
      </w:r>
    </w:p>
    <w:p w14:paraId="2040D096">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rightChars="0" w:firstLine="640" w:firstLineChars="200"/>
        <w:textAlignment w:val="auto"/>
        <w:outlineLvl w:val="2"/>
        <w:rPr>
          <w:rFonts w:hint="eastAsia" w:ascii="楷体_GB2312" w:hAnsi="楷体_GB2312" w:eastAsia="楷体_GB2312" w:cs="楷体_GB2312"/>
          <w:b w:val="0"/>
          <w:bCs/>
          <w:sz w:val="32"/>
          <w:szCs w:val="22"/>
          <w:highlight w:val="none"/>
          <w:lang w:val="en-US" w:eastAsia="zh-CN" w:bidi="ar-SA"/>
        </w:rPr>
      </w:pPr>
      <w:bookmarkStart w:id="172" w:name="_Toc1945713832"/>
      <w:bookmarkStart w:id="173" w:name="_Toc28045"/>
      <w:bookmarkStart w:id="174" w:name="_Toc1288160508"/>
      <w:bookmarkStart w:id="175" w:name="_Toc866533362"/>
      <w:r>
        <w:rPr>
          <w:rFonts w:hint="eastAsia" w:ascii="楷体_GB2312" w:hAnsi="楷体_GB2312" w:eastAsia="楷体_GB2312" w:cs="楷体_GB2312"/>
          <w:b w:val="0"/>
          <w:bCs/>
          <w:sz w:val="32"/>
          <w:szCs w:val="22"/>
          <w:highlight w:val="none"/>
          <w:lang w:val="en-US" w:eastAsia="zh-CN" w:bidi="ar-SA"/>
        </w:rPr>
        <w:t>（2）伴随服务</w:t>
      </w:r>
      <w:bookmarkEnd w:id="172"/>
      <w:bookmarkEnd w:id="173"/>
      <w:bookmarkEnd w:id="174"/>
      <w:bookmarkEnd w:id="175"/>
    </w:p>
    <w:p w14:paraId="7D272DC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配合医疗机构进行定期质控管理，若存在系统更新的相关事项，提供系统的后续升级更新服务等。</w:t>
      </w:r>
    </w:p>
    <w:p w14:paraId="21B2A1D5">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2.集中采购供应的中选医用耗材产品应是保障临床需求的常用包装。</w:t>
      </w:r>
    </w:p>
    <w:p w14:paraId="2C190440">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3.配送企业应按照合同约定和医疗机构采购需求及时送达医用耗材。</w:t>
      </w:r>
    </w:p>
    <w:p w14:paraId="6FC06BE0">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76" w:name="五、货款结算"/>
      <w:bookmarkEnd w:id="176"/>
      <w:bookmarkStart w:id="177" w:name="_Toc1779897194"/>
      <w:bookmarkStart w:id="178" w:name="_Toc2096081493"/>
      <w:bookmarkStart w:id="179" w:name="_Toc1331012549"/>
      <w:bookmarkStart w:id="180" w:name="_Toc2118225312"/>
      <w:bookmarkStart w:id="181" w:name="_Toc1878881555"/>
      <w:bookmarkStart w:id="182" w:name="_Toc16125"/>
      <w:r>
        <w:rPr>
          <w:rFonts w:hint="eastAsia" w:ascii="黑体" w:hAnsi="黑体" w:eastAsia="黑体" w:cs="黑体"/>
          <w:b w:val="0"/>
          <w:bCs w:val="0"/>
          <w:highlight w:val="none"/>
          <w:lang w:eastAsia="zh-CN"/>
        </w:rPr>
        <w:t>五、货款结算</w:t>
      </w:r>
      <w:bookmarkEnd w:id="177"/>
      <w:bookmarkEnd w:id="178"/>
      <w:bookmarkEnd w:id="179"/>
      <w:bookmarkEnd w:id="180"/>
      <w:bookmarkEnd w:id="181"/>
      <w:bookmarkEnd w:id="182"/>
    </w:p>
    <w:p w14:paraId="2E5947B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各公立医疗机构均应通过福建省医疗保障信息平台药品和医用耗材招标和采购交易子系统采购中选产品，当地医保经办机构于每月15日前按规定向企业支付上一月的医用耗材产品货款。</w:t>
      </w:r>
    </w:p>
    <w:p w14:paraId="647EFC01">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40" w:firstLineChars="200"/>
        <w:textAlignment w:val="auto"/>
        <w:outlineLvl w:val="1"/>
        <w:rPr>
          <w:rFonts w:hint="eastAsia" w:ascii="黑体" w:hAnsi="黑体" w:eastAsia="黑体" w:cs="黑体"/>
          <w:b w:val="0"/>
          <w:bCs w:val="0"/>
          <w:highlight w:val="none"/>
          <w:lang w:eastAsia="zh-CN"/>
        </w:rPr>
      </w:pPr>
      <w:bookmarkStart w:id="183" w:name="_Toc260615473"/>
      <w:bookmarkStart w:id="184" w:name="_Toc2138243891"/>
      <w:bookmarkStart w:id="185" w:name="_Toc1315395829"/>
      <w:bookmarkStart w:id="186" w:name="_Toc1359141321"/>
      <w:bookmarkStart w:id="187" w:name="_Toc31254"/>
      <w:bookmarkStart w:id="188" w:name="_Toc1762749397"/>
      <w:r>
        <w:rPr>
          <w:rFonts w:hint="eastAsia" w:ascii="黑体" w:hAnsi="黑体" w:eastAsia="黑体" w:cs="黑体"/>
          <w:b w:val="0"/>
          <w:bCs w:val="0"/>
          <w:highlight w:val="none"/>
          <w:lang w:eastAsia="zh-CN"/>
        </w:rPr>
        <w:t>六、其他</w:t>
      </w:r>
      <w:bookmarkEnd w:id="183"/>
      <w:bookmarkEnd w:id="184"/>
      <w:bookmarkEnd w:id="185"/>
      <w:bookmarkEnd w:id="186"/>
      <w:bookmarkEnd w:id="187"/>
      <w:bookmarkEnd w:id="188"/>
    </w:p>
    <w:p w14:paraId="2444B8C2">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（一）申报企业、配送企业如有以下行为，经有关部门认定情节严重的将被列入“违规名单”：</w:t>
      </w:r>
    </w:p>
    <w:p w14:paraId="6116FADF">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1.提供回扣或其他商业贿赂，进行非法促销活动。</w:t>
      </w:r>
    </w:p>
    <w:p w14:paraId="182CBC79">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2.以低于成本的价格恶意申报，扰乱市场秩序。</w:t>
      </w:r>
    </w:p>
    <w:p w14:paraId="2588010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bookmarkStart w:id="189" w:name="六、其他"/>
      <w:bookmarkEnd w:id="189"/>
      <w:r>
        <w:rPr>
          <w:rFonts w:hint="eastAsia" w:ascii="仿宋_GB2312" w:hAnsi="仿宋_GB2312" w:eastAsia="仿宋_GB2312" w:cs="仿宋_GB2312"/>
          <w:spacing w:val="-1"/>
          <w:sz w:val="32"/>
          <w:szCs w:val="32"/>
          <w:highlight w:val="none"/>
          <w:lang w:val="en-US" w:eastAsia="zh-CN"/>
        </w:rPr>
        <w:t>3.以欺诈、串通投标、滥用市场支配地位等方式竞标扰乱集中采购秩序。</w:t>
      </w:r>
    </w:p>
    <w:p w14:paraId="23719E79">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bookmarkStart w:id="190" w:name="_Toc259855241"/>
      <w:r>
        <w:rPr>
          <w:rFonts w:hint="eastAsia" w:ascii="仿宋_GB2312" w:hAnsi="仿宋_GB2312" w:eastAsia="仿宋_GB2312" w:cs="仿宋_GB2312"/>
          <w:spacing w:val="-1"/>
          <w:sz w:val="32"/>
          <w:szCs w:val="32"/>
          <w:highlight w:val="none"/>
          <w:lang w:val="en-US" w:eastAsia="zh-CN"/>
        </w:rPr>
        <w:t>4.以向采购方、采购机构行贿等手段牟取中选。</w:t>
      </w:r>
      <w:bookmarkEnd w:id="190"/>
    </w:p>
    <w:p w14:paraId="1258CE3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5.提供虚假证明文件及文献资料，或者以其他方式弄虚作假，骗取中选。</w:t>
      </w:r>
    </w:p>
    <w:p w14:paraId="7C498B83">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6.在规定期限内不签订带量购销合同。</w:t>
      </w:r>
    </w:p>
    <w:p w14:paraId="28817F2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7.中选企业、配送企业未按采购方以及法律法规要求实行配送。</w:t>
      </w:r>
    </w:p>
    <w:p w14:paraId="265FC46D">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8.放弃拟中选或中选资格。</w:t>
      </w:r>
    </w:p>
    <w:p w14:paraId="2BB07FC1">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9.除不可抗力因素外，不履行供货承诺，影响临床使用。</w:t>
      </w:r>
    </w:p>
    <w:p w14:paraId="7035E05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10.中选后发生严重质量问题。</w:t>
      </w:r>
    </w:p>
    <w:p w14:paraId="17A5EE4F">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11.中选后在规定的抽检或飞行检查中发现严重违背申报材料中作出承诺的情形。</w:t>
      </w:r>
    </w:p>
    <w:p w14:paraId="2741CAD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bookmarkStart w:id="191" w:name="_Toc1552781136"/>
      <w:r>
        <w:rPr>
          <w:rFonts w:hint="eastAsia" w:ascii="仿宋_GB2312" w:hAnsi="仿宋_GB2312" w:eastAsia="仿宋_GB2312" w:cs="仿宋_GB2312"/>
          <w:spacing w:val="-1"/>
          <w:sz w:val="32"/>
          <w:szCs w:val="32"/>
          <w:highlight w:val="none"/>
          <w:lang w:val="en-US" w:eastAsia="zh-CN"/>
        </w:rPr>
        <w:t>12.其他违反法律法规的行为。</w:t>
      </w:r>
      <w:bookmarkEnd w:id="191"/>
    </w:p>
    <w:p w14:paraId="5995F55A">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（二）申报企业、配送企业列入“违规名单”的，取消相关企业</w:t>
      </w: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spacing w:val="-1"/>
          <w:sz w:val="32"/>
          <w:szCs w:val="32"/>
          <w:highlight w:val="none"/>
          <w:lang w:val="en-US" w:eastAsia="zh-CN"/>
        </w:rPr>
        <w:t>的申报、中选、配送资格。同时视情节轻重取消上述企业在列入“违规名单”之日起2年内参与我省各地市医用耗材采购活动的资格。</w:t>
      </w:r>
    </w:p>
    <w:p w14:paraId="4E49DB18">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（三）患者使用中选医用耗材时，因中选医用耗材生产质量原因造成人身伤害的，由中选企业承担全部赔偿责任。</w:t>
      </w:r>
    </w:p>
    <w:p w14:paraId="5213260E">
      <w:pPr>
        <w:pStyle w:val="23"/>
        <w:keepNext w:val="0"/>
        <w:keepLines w:val="0"/>
        <w:pageBreakBefore w:val="0"/>
        <w:widowControl w:val="0"/>
        <w:numPr>
          <w:ilvl w:val="0"/>
          <w:numId w:val="0"/>
        </w:numPr>
        <w:tabs>
          <w:tab w:val="left" w:pos="1066"/>
        </w:tabs>
        <w:kinsoku/>
        <w:wordWrap/>
        <w:overflowPunct/>
        <w:topLinePunct w:val="0"/>
        <w:autoSpaceDE w:val="0"/>
        <w:autoSpaceDN w:val="0"/>
        <w:bidi w:val="0"/>
        <w:adjustRightInd/>
        <w:snapToGrid/>
        <w:spacing w:before="0" w:after="0" w:line="560" w:lineRule="exact"/>
        <w:ind w:left="0" w:right="0" w:rightChars="0" w:firstLine="636" w:firstLineChars="200"/>
        <w:jc w:val="both"/>
        <w:textAlignment w:val="auto"/>
        <w:rPr>
          <w:rFonts w:hint="default"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lang w:val="en-US" w:eastAsia="zh-CN"/>
        </w:rPr>
        <w:t>（四）中选结果实际执行日起，中选产品医疗器械注册证应在有效期内。如未在有效期内，则取消该注册证产品的中选资格。</w:t>
      </w:r>
    </w:p>
    <w:p w14:paraId="6A3FAC27">
      <w:pPr>
        <w:pStyle w:val="8"/>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636" w:firstLineChars="200"/>
        <w:textAlignment w:val="auto"/>
        <w:rPr>
          <w:rFonts w:hint="eastAsia" w:ascii="仿宋_GB2312" w:hAnsi="仿宋_GB2312" w:eastAsia="仿宋_GB2312" w:cs="仿宋_GB2312"/>
          <w:spacing w:val="-1"/>
          <w:sz w:val="32"/>
          <w:szCs w:val="32"/>
          <w:highlight w:val="none"/>
          <w:lang w:val="en-US" w:eastAsia="zh-CN"/>
        </w:rPr>
        <w:sectPr>
          <w:headerReference r:id="rId5" w:type="default"/>
          <w:footerReference r:id="rId6" w:type="default"/>
          <w:pgSz w:w="11910" w:h="16840"/>
          <w:pgMar w:top="2098" w:right="1474" w:bottom="1984" w:left="1587" w:header="1145" w:footer="1276" w:gutter="0"/>
          <w:pgBorders>
            <w:top w:val="none" w:sz="0" w:space="0"/>
            <w:left w:val="none" w:sz="0" w:space="0"/>
            <w:bottom w:val="none" w:sz="0" w:space="0"/>
            <w:right w:val="none" w:sz="0" w:space="0"/>
          </w:pgBorders>
          <w:pgNumType w:fmt="decimal" w:start="1"/>
          <w:cols w:space="720" w:num="1"/>
        </w:sectPr>
      </w:pPr>
      <w:r>
        <w:rPr>
          <w:rFonts w:hint="eastAsia" w:ascii="仿宋_GB2312" w:hAnsi="仿宋_GB2312" w:eastAsia="仿宋_GB2312" w:cs="仿宋_GB2312"/>
          <w:spacing w:val="-1"/>
          <w:sz w:val="32"/>
          <w:szCs w:val="32"/>
          <w:highlight w:val="none"/>
          <w:lang w:val="en-US" w:eastAsia="zh-CN"/>
        </w:rPr>
        <w:t>（五）本采购文件仅适用于</w:t>
      </w:r>
      <w:r>
        <w:rPr>
          <w:rFonts w:hint="eastAsia" w:ascii="仿宋_GB2312" w:hAnsi="仿宋_GB2312" w:eastAsia="仿宋_GB2312" w:cs="仿宋_GB2312"/>
          <w:spacing w:val="-1"/>
          <w:sz w:val="32"/>
          <w:szCs w:val="32"/>
          <w:highlight w:val="none"/>
          <w:lang w:val="en-US" w:eastAsia="zh-CN" w:bidi="ar-SA"/>
        </w:rPr>
        <w:t>本次联盟采购</w:t>
      </w:r>
      <w:r>
        <w:rPr>
          <w:rFonts w:hint="eastAsia" w:ascii="仿宋_GB2312" w:hAnsi="仿宋_GB2312" w:eastAsia="仿宋_GB2312" w:cs="仿宋_GB2312"/>
          <w:spacing w:val="-1"/>
          <w:sz w:val="32"/>
          <w:szCs w:val="32"/>
          <w:highlight w:val="none"/>
          <w:lang w:val="en-US" w:eastAsia="zh-CN"/>
        </w:rPr>
        <w:t>邀请函中所述项目的医用耗材及相关服务，最终解释权归</w:t>
      </w:r>
      <w:r>
        <w:rPr>
          <w:rFonts w:hint="eastAsia" w:ascii="仿宋_GB2312" w:hAnsi="仿宋_GB2312" w:eastAsia="仿宋_GB2312" w:cs="仿宋_GB2312"/>
          <w:spacing w:val="-1"/>
          <w:sz w:val="32"/>
          <w:szCs w:val="32"/>
          <w:highlight w:val="none"/>
          <w:lang w:val="en-US" w:eastAsia="zh-CN" w:bidi="ar-SA"/>
        </w:rPr>
        <w:t>一次性使用高压造影注射器及附件、输液接头全省性联盟集采领导小组办公室</w:t>
      </w:r>
      <w:r>
        <w:rPr>
          <w:rFonts w:hint="eastAsia" w:ascii="仿宋_GB2312" w:hAnsi="仿宋_GB2312" w:eastAsia="仿宋_GB2312" w:cs="仿宋_GB2312"/>
          <w:spacing w:val="-1"/>
          <w:sz w:val="32"/>
          <w:szCs w:val="32"/>
          <w:highlight w:val="none"/>
          <w:lang w:val="en-US" w:eastAsia="zh-CN"/>
        </w:rPr>
        <w:t>。</w:t>
      </w:r>
    </w:p>
    <w:p w14:paraId="499EB2B4">
      <w:pPr>
        <w:pStyle w:val="2"/>
        <w:bidi w:val="0"/>
        <w:ind w:left="0" w:leftChars="0" w:firstLine="0" w:firstLineChars="0"/>
        <w:jc w:val="center"/>
        <w:outlineLvl w:val="9"/>
        <w:rPr>
          <w:rFonts w:hint="eastAsia" w:ascii="方正小标宋简体" w:hAnsi="方正小标宋简体" w:eastAsia="方正小标宋简体" w:cs="方正小标宋简体"/>
          <w:highlight w:val="none"/>
        </w:rPr>
      </w:pPr>
      <w:bookmarkStart w:id="192" w:name="_TOC_250000"/>
      <w:bookmarkEnd w:id="192"/>
      <w:bookmarkStart w:id="193" w:name="_Toc1745576607"/>
      <w:bookmarkStart w:id="194" w:name="_Toc528788401"/>
      <w:bookmarkStart w:id="195" w:name="_Toc75028391"/>
      <w:bookmarkStart w:id="196" w:name="_Toc1663486159"/>
    </w:p>
    <w:p w14:paraId="46FD0D3F">
      <w:pPr>
        <w:pStyle w:val="2"/>
        <w:bidi w:val="0"/>
        <w:ind w:left="0" w:leftChars="0" w:firstLine="0" w:firstLineChars="0"/>
        <w:jc w:val="center"/>
        <w:outlineLvl w:val="0"/>
        <w:rPr>
          <w:rFonts w:hint="eastAsia" w:ascii="方正小标宋简体" w:hAnsi="方正小标宋简体" w:eastAsia="方正小标宋简体" w:cs="方正小标宋简体"/>
          <w:highlight w:val="none"/>
        </w:rPr>
      </w:pPr>
      <w:bookmarkStart w:id="197" w:name="_Toc10494"/>
      <w:bookmarkStart w:id="198" w:name="_Toc1992205014"/>
      <w:bookmarkStart w:id="199" w:name="_Toc1473727139"/>
      <w:r>
        <w:rPr>
          <w:rFonts w:hint="eastAsia" w:ascii="方正小标宋简体" w:hAnsi="方正小标宋简体" w:eastAsia="方正小标宋简体" w:cs="方正小标宋简体"/>
          <w:highlight w:val="none"/>
        </w:rPr>
        <w:t>第三部分</w:t>
      </w:r>
      <w:r>
        <w:rPr>
          <w:rFonts w:hint="eastAsia" w:ascii="方正小标宋简体" w:hAnsi="方正小标宋简体" w:eastAsia="方正小标宋简体" w:cs="方正小标宋简体"/>
          <w:highlight w:val="none"/>
          <w:lang w:val="en-US" w:eastAsia="zh-CN"/>
        </w:rPr>
        <w:t xml:space="preserve"> </w:t>
      </w:r>
      <w:r>
        <w:rPr>
          <w:rFonts w:hint="eastAsia" w:ascii="方正小标宋简体" w:hAnsi="方正小标宋简体" w:eastAsia="方正小标宋简体" w:cs="方正小标宋简体"/>
          <w:highlight w:val="none"/>
        </w:rPr>
        <w:t>附件</w:t>
      </w:r>
      <w:bookmarkEnd w:id="193"/>
      <w:bookmarkEnd w:id="194"/>
      <w:bookmarkEnd w:id="195"/>
      <w:bookmarkEnd w:id="196"/>
      <w:bookmarkEnd w:id="197"/>
      <w:bookmarkEnd w:id="198"/>
      <w:bookmarkEnd w:id="199"/>
    </w:p>
    <w:p w14:paraId="2FE04871">
      <w:pPr>
        <w:pStyle w:val="14"/>
        <w:keepNext w:val="0"/>
        <w:keepLines w:val="0"/>
        <w:widowControl w:val="0"/>
        <w:suppressLineNumbers w:val="0"/>
        <w:autoSpaceDE w:val="0"/>
        <w:autoSpaceDN w:val="0"/>
        <w:spacing w:before="4" w:beforeAutospacing="0" w:after="0" w:afterAutospacing="0"/>
        <w:ind w:left="0" w:right="508" w:rightChars="231"/>
        <w:jc w:val="left"/>
        <w:rPr>
          <w:rFonts w:hint="eastAsia" w:ascii="宋体" w:hAnsi="仿宋" w:eastAsia="仿宋" w:cs="仿宋"/>
          <w:sz w:val="21"/>
          <w:szCs w:val="21"/>
          <w:highlight w:val="none"/>
        </w:rPr>
      </w:pPr>
      <w:r>
        <w:rPr>
          <w:rFonts w:hint="eastAsia" w:ascii="宋体" w:hAnsi="仿宋" w:eastAsia="仿宋" w:cs="仿宋"/>
          <w:kern w:val="0"/>
          <w:sz w:val="21"/>
          <w:szCs w:val="21"/>
          <w:highlight w:val="none"/>
          <w:lang w:val="en-US" w:eastAsia="zh-CN" w:bidi="ar"/>
        </w:rPr>
        <w:t xml:space="preserve"> </w:t>
      </w:r>
    </w:p>
    <w:p w14:paraId="62126227">
      <w:pPr>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jc w:val="both"/>
        <w:textAlignment w:val="baseline"/>
        <w:rPr>
          <w:rFonts w:hint="eastAsia" w:ascii="黑体" w:hAnsi="黑体" w:eastAsia="黑体" w:cs="黑体"/>
          <w:snapToGrid w:val="0"/>
          <w:color w:val="auto"/>
          <w:kern w:val="0"/>
          <w:sz w:val="32"/>
          <w:szCs w:val="32"/>
          <w:highlight w:val="none"/>
          <w:lang w:val="en-US" w:eastAsia="zh-CN"/>
        </w:rPr>
      </w:pPr>
      <w:bookmarkStart w:id="200" w:name="_Toc93056801"/>
      <w:bookmarkStart w:id="201" w:name="_Toc2030899334"/>
      <w:bookmarkStart w:id="202" w:name="_Toc159533306"/>
      <w:r>
        <w:rPr>
          <w:rFonts w:hint="eastAsia" w:ascii="黑体" w:hAnsi="黑体" w:eastAsia="黑体" w:cs="黑体"/>
          <w:snapToGrid w:val="0"/>
          <w:color w:val="auto"/>
          <w:kern w:val="0"/>
          <w:sz w:val="32"/>
          <w:szCs w:val="32"/>
          <w:highlight w:val="none"/>
          <w:lang w:val="en-US" w:eastAsia="zh-CN"/>
        </w:rPr>
        <w:t>附件1</w:t>
      </w:r>
      <w:bookmarkEnd w:id="200"/>
      <w:bookmarkEnd w:id="201"/>
      <w:bookmarkEnd w:id="202"/>
    </w:p>
    <w:p w14:paraId="35493DC0">
      <w:pPr>
        <w:keepNext w:val="0"/>
        <w:keepLines w:val="0"/>
        <w:pageBreakBefore w:val="0"/>
        <w:widowControl w:val="0"/>
        <w:kinsoku/>
        <w:wordWrap/>
        <w:overflowPunct/>
        <w:topLinePunct w:val="0"/>
        <w:autoSpaceDE/>
        <w:autoSpaceDN/>
        <w:bidi w:val="0"/>
        <w:adjustRightInd/>
        <w:snapToGrid/>
        <w:spacing w:before="0" w:after="0" w:line="560" w:lineRule="exact"/>
        <w:ind w:left="0" w:right="508" w:rightChars="231" w:firstLine="640" w:firstLineChars="200"/>
        <w:jc w:val="center"/>
        <w:textAlignment w:val="auto"/>
        <w:rPr>
          <w:rFonts w:hint="eastAsia" w:ascii="黑体" w:hAnsi="黑体" w:eastAsia="黑体" w:cs="黑体"/>
          <w:color w:val="000000"/>
          <w:kern w:val="0"/>
          <w:sz w:val="32"/>
          <w:szCs w:val="32"/>
          <w:highlight w:val="none"/>
          <w:lang w:val="en-US" w:eastAsia="zh-CN" w:bidi="ar"/>
        </w:rPr>
      </w:pPr>
    </w:p>
    <w:p w14:paraId="5E10384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508" w:rightChars="231" w:firstLine="0" w:firstLineChars="0"/>
        <w:jc w:val="center"/>
        <w:textAlignment w:val="auto"/>
        <w:rPr>
          <w:rFonts w:hint="eastAsia" w:ascii="方正小标宋简体" w:hAnsi="方正小标宋简体" w:eastAsia="方正小标宋简体" w:cs="方正小标宋简体"/>
          <w:color w:val="000000"/>
          <w:kern w:val="0"/>
          <w:sz w:val="32"/>
          <w:szCs w:val="32"/>
          <w:highlight w:val="none"/>
          <w:lang w:val="en-US" w:eastAsia="zh-CN" w:bidi="ar"/>
        </w:rPr>
      </w:pPr>
      <w:r>
        <w:rPr>
          <w:rFonts w:hint="eastAsia" w:ascii="方正小标宋简体" w:hAnsi="方正小标宋简体" w:eastAsia="方正小标宋简体" w:cs="方正小标宋简体"/>
          <w:color w:val="000000"/>
          <w:kern w:val="0"/>
          <w:sz w:val="32"/>
          <w:szCs w:val="32"/>
          <w:highlight w:val="none"/>
          <w:lang w:val="en-US" w:eastAsia="zh-CN" w:bidi="ar"/>
        </w:rPr>
        <w:t>一次性使用高压造影注射器及附件、输液接头全省性联盟集中带量 采购参与情况表</w:t>
      </w:r>
    </w:p>
    <w:p w14:paraId="00656F0D">
      <w:pPr>
        <w:keepNext w:val="0"/>
        <w:keepLines w:val="0"/>
        <w:pageBreakBefore w:val="0"/>
        <w:widowControl w:val="0"/>
        <w:kinsoku/>
        <w:wordWrap/>
        <w:overflowPunct/>
        <w:topLinePunct w:val="0"/>
        <w:autoSpaceDE/>
        <w:autoSpaceDN/>
        <w:bidi w:val="0"/>
        <w:adjustRightInd/>
        <w:snapToGrid/>
        <w:spacing w:before="0" w:after="0" w:line="560" w:lineRule="exact"/>
        <w:ind w:left="0" w:right="508" w:rightChars="231"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rPr>
      </w:pPr>
    </w:p>
    <w:tbl>
      <w:tblPr>
        <w:tblStyle w:val="17"/>
        <w:tblW w:w="10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4"/>
        <w:gridCol w:w="6910"/>
      </w:tblGrid>
      <w:tr w14:paraId="018B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tcBorders>
              <w:tl2br w:val="single" w:color="auto" w:sz="4" w:space="0"/>
            </w:tcBorders>
          </w:tcPr>
          <w:p w14:paraId="61DDD184">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eastAsia" w:ascii="仿宋_GB2312" w:hAnsi="仿宋_GB2312" w:eastAsia="仿宋_GB2312" w:cs="仿宋_GB2312"/>
                <w:b/>
                <w:bCs/>
                <w:color w:val="000000"/>
                <w:kern w:val="2"/>
                <w:sz w:val="32"/>
                <w:szCs w:val="32"/>
                <w:highlight w:val="none"/>
                <w:vertAlign w:val="baseline"/>
                <w:lang w:val="en-US" w:eastAsia="zh-CN"/>
              </w:rPr>
            </w:pPr>
            <w:r>
              <w:rPr>
                <w:rFonts w:hint="eastAsia" w:ascii="仿宋_GB2312" w:hAnsi="仿宋_GB2312" w:eastAsia="仿宋_GB2312" w:cs="仿宋_GB2312"/>
                <w:b/>
                <w:bCs/>
                <w:color w:val="000000"/>
                <w:kern w:val="2"/>
                <w:sz w:val="32"/>
                <w:szCs w:val="32"/>
                <w:highlight w:val="none"/>
                <w:vertAlign w:val="baseline"/>
                <w:lang w:val="en-US" w:eastAsia="zh-CN"/>
              </w:rPr>
              <w:t>品种</w:t>
            </w:r>
          </w:p>
          <w:p w14:paraId="1B38B5F3">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firstLine="321" w:firstLineChars="100"/>
              <w:jc w:val="both"/>
              <w:textAlignment w:val="auto"/>
              <w:rPr>
                <w:rFonts w:hint="default" w:ascii="仿宋_GB2312" w:hAnsi="仿宋_GB2312" w:eastAsia="仿宋_GB2312" w:cs="仿宋_GB2312"/>
                <w:b/>
                <w:bCs/>
                <w:color w:val="000000"/>
                <w:kern w:val="2"/>
                <w:sz w:val="32"/>
                <w:szCs w:val="32"/>
                <w:highlight w:val="none"/>
                <w:vertAlign w:val="baseline"/>
                <w:lang w:val="en-US" w:eastAsia="zh-CN"/>
              </w:rPr>
            </w:pPr>
            <w:r>
              <w:rPr>
                <w:rFonts w:hint="eastAsia" w:ascii="仿宋_GB2312" w:hAnsi="仿宋_GB2312" w:eastAsia="仿宋_GB2312" w:cs="仿宋_GB2312"/>
                <w:b/>
                <w:bCs/>
                <w:color w:val="000000"/>
                <w:kern w:val="2"/>
                <w:sz w:val="32"/>
                <w:szCs w:val="32"/>
                <w:highlight w:val="none"/>
                <w:vertAlign w:val="baseline"/>
                <w:lang w:val="en-US" w:eastAsia="zh-CN"/>
              </w:rPr>
              <w:t>地市</w:t>
            </w:r>
          </w:p>
        </w:tc>
        <w:tc>
          <w:tcPr>
            <w:tcW w:w="6910" w:type="dxa"/>
            <w:vAlign w:val="center"/>
          </w:tcPr>
          <w:p w14:paraId="14E66D3E">
            <w:pPr>
              <w:keepNext w:val="0"/>
              <w:keepLines w:val="0"/>
              <w:pageBreakBefore w:val="0"/>
              <w:widowControl w:val="0"/>
              <w:kinsoku/>
              <w:wordWrap/>
              <w:overflowPunct/>
              <w:topLinePunct w:val="0"/>
              <w:autoSpaceDE/>
              <w:autoSpaceDN/>
              <w:bidi w:val="0"/>
              <w:adjustRightInd/>
              <w:snapToGrid/>
              <w:spacing w:before="0" w:after="0" w:line="560" w:lineRule="exact"/>
              <w:ind w:left="0" w:right="-125" w:rightChars="-57"/>
              <w:jc w:val="center"/>
              <w:textAlignment w:val="auto"/>
              <w:rPr>
                <w:rFonts w:hint="default" w:ascii="仿宋_GB2312" w:hAnsi="仿宋_GB2312" w:eastAsia="仿宋_GB2312" w:cs="仿宋_GB2312"/>
                <w:b/>
                <w:bCs/>
                <w:color w:val="000000"/>
                <w:kern w:val="2"/>
                <w:sz w:val="32"/>
                <w:szCs w:val="32"/>
                <w:highlight w:val="none"/>
                <w:vertAlign w:val="baseline"/>
                <w:lang w:val="en-US" w:eastAsia="zh-CN"/>
              </w:rPr>
            </w:pPr>
            <w:r>
              <w:rPr>
                <w:rFonts w:hint="eastAsia" w:ascii="仿宋_GB2312" w:hAnsi="仿宋_GB2312" w:eastAsia="仿宋_GB2312" w:cs="仿宋_GB2312"/>
                <w:b/>
                <w:bCs/>
                <w:color w:val="000000"/>
                <w:kern w:val="2"/>
                <w:sz w:val="32"/>
                <w:szCs w:val="32"/>
                <w:highlight w:val="none"/>
                <w:vertAlign w:val="baseline"/>
                <w:lang w:val="en-US" w:eastAsia="zh-CN"/>
              </w:rPr>
              <w:t>一次性使用高压造影注射器及附件、输液接头</w:t>
            </w:r>
          </w:p>
        </w:tc>
      </w:tr>
      <w:tr w14:paraId="78CA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tcPr>
          <w:p w14:paraId="0464DFB7">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省本级</w:t>
            </w:r>
          </w:p>
        </w:tc>
        <w:tc>
          <w:tcPr>
            <w:tcW w:w="6910" w:type="dxa"/>
          </w:tcPr>
          <w:p w14:paraId="5382B2D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7D2B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tcPr>
          <w:p w14:paraId="794C8A23">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福州市</w:t>
            </w:r>
          </w:p>
        </w:tc>
        <w:tc>
          <w:tcPr>
            <w:tcW w:w="6910" w:type="dxa"/>
            <w:vAlign w:val="top"/>
          </w:tcPr>
          <w:p w14:paraId="53E6FD76">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1101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68DF0688">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厦门市</w:t>
            </w:r>
          </w:p>
        </w:tc>
        <w:tc>
          <w:tcPr>
            <w:tcW w:w="6910" w:type="dxa"/>
            <w:vAlign w:val="top"/>
          </w:tcPr>
          <w:p w14:paraId="4EAC159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4E17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4E338357">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泉州市</w:t>
            </w:r>
          </w:p>
        </w:tc>
        <w:tc>
          <w:tcPr>
            <w:tcW w:w="6910" w:type="dxa"/>
            <w:vAlign w:val="top"/>
          </w:tcPr>
          <w:p w14:paraId="0821D258">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06C6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4055165A">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漳州市</w:t>
            </w:r>
          </w:p>
        </w:tc>
        <w:tc>
          <w:tcPr>
            <w:tcW w:w="6910" w:type="dxa"/>
            <w:vAlign w:val="top"/>
          </w:tcPr>
          <w:p w14:paraId="0CD49E19">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514C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34DC6694">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三明市</w:t>
            </w:r>
          </w:p>
        </w:tc>
        <w:tc>
          <w:tcPr>
            <w:tcW w:w="6910" w:type="dxa"/>
            <w:vAlign w:val="top"/>
          </w:tcPr>
          <w:p w14:paraId="4CDA1E78">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1795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0D4241E7">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莆田市</w:t>
            </w:r>
          </w:p>
        </w:tc>
        <w:tc>
          <w:tcPr>
            <w:tcW w:w="6910" w:type="dxa"/>
            <w:vAlign w:val="top"/>
          </w:tcPr>
          <w:p w14:paraId="755304B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793F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371ED908">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南平市</w:t>
            </w:r>
          </w:p>
        </w:tc>
        <w:tc>
          <w:tcPr>
            <w:tcW w:w="6910" w:type="dxa"/>
            <w:vAlign w:val="top"/>
          </w:tcPr>
          <w:p w14:paraId="737E9246">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1AC7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vAlign w:val="top"/>
          </w:tcPr>
          <w:p w14:paraId="669F62BE">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龙岩市</w:t>
            </w:r>
          </w:p>
        </w:tc>
        <w:tc>
          <w:tcPr>
            <w:tcW w:w="6910" w:type="dxa"/>
            <w:vAlign w:val="top"/>
          </w:tcPr>
          <w:p w14:paraId="19BC0DDB">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bidi="ar-SA"/>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1785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94" w:type="dxa"/>
          </w:tcPr>
          <w:p w14:paraId="144A308B">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eastAsia"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宁德市</w:t>
            </w:r>
          </w:p>
        </w:tc>
        <w:tc>
          <w:tcPr>
            <w:tcW w:w="6910" w:type="dxa"/>
          </w:tcPr>
          <w:p w14:paraId="1AF8878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是</w:t>
            </w:r>
          </w:p>
        </w:tc>
      </w:tr>
      <w:tr w14:paraId="5802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494" w:type="dxa"/>
          </w:tcPr>
          <w:p w14:paraId="543A7AEC">
            <w:pPr>
              <w:keepNext w:val="0"/>
              <w:keepLines w:val="0"/>
              <w:pageBreakBefore w:val="0"/>
              <w:widowControl w:val="0"/>
              <w:kinsoku/>
              <w:wordWrap/>
              <w:overflowPunct/>
              <w:topLinePunct w:val="0"/>
              <w:autoSpaceDE/>
              <w:autoSpaceDN/>
              <w:bidi w:val="0"/>
              <w:adjustRightInd/>
              <w:snapToGrid/>
              <w:spacing w:before="0" w:after="0" w:line="560" w:lineRule="exact"/>
              <w:ind w:left="0" w:right="-73" w:rightChars="-33"/>
              <w:jc w:val="center"/>
              <w:textAlignment w:val="auto"/>
              <w:rPr>
                <w:rFonts w:hint="eastAsia"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平潭综合</w:t>
            </w:r>
            <w:r>
              <w:rPr>
                <w:rFonts w:hint="eastAsia" w:ascii="仿宋" w:hAnsi="仿宋" w:cs="仿宋"/>
                <w:color w:val="000000"/>
                <w:spacing w:val="0"/>
                <w:kern w:val="2"/>
                <w:sz w:val="32"/>
                <w:szCs w:val="32"/>
                <w:highlight w:val="none"/>
                <w:lang w:val="en-US" w:eastAsia="zh-CN"/>
              </w:rPr>
              <w:t>实验区</w:t>
            </w:r>
          </w:p>
        </w:tc>
        <w:tc>
          <w:tcPr>
            <w:tcW w:w="6910" w:type="dxa"/>
          </w:tcPr>
          <w:p w14:paraId="696B8C49">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仿宋_GB2312" w:hAnsi="仿宋_GB2312" w:eastAsia="仿宋_GB2312" w:cs="仿宋_GB2312"/>
                <w:color w:val="000000"/>
                <w:kern w:val="2"/>
                <w:sz w:val="32"/>
                <w:szCs w:val="32"/>
                <w:highlight w:val="none"/>
                <w:vertAlign w:val="baseline"/>
                <w:lang w:val="en-US" w:eastAsia="zh-CN"/>
              </w:rPr>
            </w:pPr>
            <w:r>
              <w:rPr>
                <w:rFonts w:hint="eastAsia" w:ascii="仿宋_GB2312" w:hAnsi="仿宋_GB2312" w:eastAsia="仿宋_GB2312" w:cs="仿宋_GB2312"/>
                <w:color w:val="000000"/>
                <w:kern w:val="2"/>
                <w:sz w:val="32"/>
                <w:szCs w:val="32"/>
                <w:highlight w:val="none"/>
                <w:vertAlign w:val="baseline"/>
                <w:lang w:val="en-US" w:eastAsia="zh-CN"/>
              </w:rPr>
              <w:t>是</w:t>
            </w:r>
          </w:p>
        </w:tc>
      </w:tr>
    </w:tbl>
    <w:p w14:paraId="1D84A259">
      <w:pPr>
        <w:pStyle w:val="21"/>
        <w:ind w:right="508" w:rightChars="231"/>
        <w:rPr>
          <w:rFonts w:hint="eastAsia"/>
          <w:highlight w:val="none"/>
          <w:lang w:val="en-US" w:eastAsia="zh-CN"/>
        </w:rPr>
      </w:pPr>
    </w:p>
    <w:p w14:paraId="0F3976F6">
      <w:pPr>
        <w:pStyle w:val="2"/>
        <w:tabs>
          <w:tab w:val="left" w:pos="2200"/>
        </w:tabs>
        <w:spacing w:before="56"/>
        <w:ind w:left="0" w:right="508" w:rightChars="231"/>
        <w:jc w:val="center"/>
        <w:outlineLvl w:val="9"/>
        <w:rPr>
          <w:rFonts w:hint="eastAsia" w:ascii="方正小标宋简体" w:hAnsi="方正小标宋简体" w:eastAsia="方正小标宋简体" w:cs="方正小标宋简体"/>
          <w:highlight w:val="none"/>
        </w:rPr>
        <w:sectPr>
          <w:footerReference r:id="rId7" w:type="default"/>
          <w:pgSz w:w="11910" w:h="16840"/>
          <w:pgMar w:top="1580" w:right="520" w:bottom="1460" w:left="1200" w:header="1145" w:footer="1276" w:gutter="0"/>
          <w:pgBorders>
            <w:top w:val="none" w:sz="0" w:space="0"/>
            <w:left w:val="none" w:sz="0" w:space="0"/>
            <w:bottom w:val="none" w:sz="0" w:space="0"/>
            <w:right w:val="none" w:sz="0" w:space="0"/>
          </w:pgBorders>
          <w:pgNumType w:fmt="decimal"/>
          <w:cols w:space="720" w:num="1"/>
        </w:sectPr>
      </w:pPr>
    </w:p>
    <w:p w14:paraId="6B21E052">
      <w:pPr>
        <w:keepNext w:val="0"/>
        <w:keepLines w:val="0"/>
        <w:pageBreakBefore w:val="0"/>
        <w:widowControl w:val="0"/>
        <w:kinsoku/>
        <w:wordWrap/>
        <w:overflowPunct/>
        <w:topLinePunct w:val="0"/>
        <w:autoSpaceDE/>
        <w:autoSpaceDN/>
        <w:bidi w:val="0"/>
        <w:adjustRightInd w:val="0"/>
        <w:snapToGrid w:val="0"/>
        <w:spacing w:before="0" w:after="0" w:line="580" w:lineRule="exact"/>
        <w:ind w:left="0" w:right="0" w:rightChars="0" w:firstLine="0" w:firstLineChars="0"/>
        <w:jc w:val="both"/>
        <w:textAlignment w:val="baseline"/>
        <w:rPr>
          <w:rFonts w:hint="eastAsia" w:ascii="黑体" w:hAnsi="黑体" w:eastAsia="黑体" w:cs="黑体"/>
          <w:snapToGrid w:val="0"/>
          <w:color w:val="auto"/>
          <w:kern w:val="0"/>
          <w:sz w:val="32"/>
          <w:szCs w:val="32"/>
          <w:highlight w:val="none"/>
          <w:lang w:val="en-US" w:eastAsia="zh-CN"/>
        </w:rPr>
      </w:pPr>
      <w:bookmarkStart w:id="203" w:name="授权书"/>
      <w:bookmarkEnd w:id="203"/>
      <w:bookmarkStart w:id="204" w:name="_Toc1472653750"/>
      <w:bookmarkStart w:id="205" w:name="_Toc293000555"/>
      <w:bookmarkStart w:id="206" w:name="_Toc1669043747"/>
      <w:r>
        <w:rPr>
          <w:rFonts w:hint="eastAsia" w:ascii="黑体" w:hAnsi="黑体" w:eastAsia="黑体" w:cs="黑体"/>
          <w:snapToGrid w:val="0"/>
          <w:color w:val="auto"/>
          <w:kern w:val="0"/>
          <w:sz w:val="32"/>
          <w:szCs w:val="32"/>
          <w:highlight w:val="none"/>
          <w:lang w:val="en-US" w:eastAsia="zh-CN"/>
        </w:rPr>
        <w:t>附件2</w:t>
      </w:r>
      <w:bookmarkEnd w:id="204"/>
      <w:bookmarkEnd w:id="205"/>
      <w:bookmarkEnd w:id="206"/>
    </w:p>
    <w:p w14:paraId="389B4FB7">
      <w:pPr>
        <w:pStyle w:val="8"/>
        <w:keepNext w:val="0"/>
        <w:keepLines w:val="0"/>
        <w:pageBreakBefore w:val="0"/>
        <w:widowControl w:val="0"/>
        <w:kinsoku/>
        <w:wordWrap/>
        <w:overflowPunct/>
        <w:topLinePunct w:val="0"/>
        <w:bidi w:val="0"/>
        <w:spacing w:before="0" w:line="580" w:lineRule="exact"/>
        <w:ind w:left="0" w:right="0" w:rightChars="0" w:firstLine="0" w:firstLineChars="0"/>
        <w:jc w:val="center"/>
        <w:rPr>
          <w:rFonts w:hint="eastAsia" w:ascii="黑体" w:hAnsi="黑体" w:eastAsia="黑体" w:cs="黑体"/>
          <w:sz w:val="32"/>
          <w:szCs w:val="32"/>
          <w:highlight w:val="none"/>
        </w:rPr>
      </w:pPr>
    </w:p>
    <w:p w14:paraId="327BDBB6">
      <w:pPr>
        <w:pStyle w:val="8"/>
        <w:keepNext w:val="0"/>
        <w:keepLines w:val="0"/>
        <w:pageBreakBefore w:val="0"/>
        <w:widowControl w:val="0"/>
        <w:kinsoku/>
        <w:wordWrap/>
        <w:overflowPunct/>
        <w:topLinePunct w:val="0"/>
        <w:bidi w:val="0"/>
        <w:spacing w:before="0" w:line="580" w:lineRule="exact"/>
        <w:ind w:left="0" w:right="0" w:rightChars="0" w:firstLine="0" w:firstLineChars="0"/>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授权书</w:t>
      </w:r>
    </w:p>
    <w:p w14:paraId="3437E64B">
      <w:pPr>
        <w:pStyle w:val="8"/>
        <w:keepNext w:val="0"/>
        <w:keepLines w:val="0"/>
        <w:pageBreakBefore w:val="0"/>
        <w:widowControl w:val="0"/>
        <w:kinsoku/>
        <w:wordWrap/>
        <w:overflowPunct/>
        <w:topLinePunct w:val="0"/>
        <w:bidi w:val="0"/>
        <w:spacing w:before="0" w:line="580" w:lineRule="exact"/>
        <w:ind w:left="0" w:right="0" w:rightChars="0" w:firstLine="0" w:firstLineChars="0"/>
        <w:jc w:val="center"/>
        <w:rPr>
          <w:rFonts w:hint="eastAsia" w:ascii="方正小标宋简体" w:hAnsi="方正小标宋简体" w:eastAsia="方正小标宋简体" w:cs="方正小标宋简体"/>
          <w:sz w:val="44"/>
          <w:szCs w:val="44"/>
          <w:highlight w:val="none"/>
        </w:rPr>
      </w:pPr>
    </w:p>
    <w:p w14:paraId="78F7C83C">
      <w:pPr>
        <w:pStyle w:val="8"/>
        <w:keepNext w:val="0"/>
        <w:keepLines w:val="0"/>
        <w:pageBreakBefore w:val="0"/>
        <w:widowControl w:val="0"/>
        <w:kinsoku/>
        <w:wordWrap/>
        <w:overflowPunct/>
        <w:topLinePunct w:val="0"/>
        <w:autoSpaceDE w:val="0"/>
        <w:autoSpaceDN w:val="0"/>
        <w:bidi w:val="0"/>
        <w:snapToGrid/>
        <w:spacing w:before="0" w:line="580" w:lineRule="exact"/>
        <w:ind w:right="0" w:rightChars="0"/>
        <w:textAlignment w:val="auto"/>
        <w:rPr>
          <w:rFonts w:hint="eastAsia" w:ascii="仿宋_GB2312" w:hAnsi="仿宋_GB2312" w:eastAsia="仿宋_GB2312" w:cs="仿宋_GB2312"/>
          <w:spacing w:val="-11"/>
          <w:sz w:val="32"/>
          <w:szCs w:val="32"/>
          <w:highlight w:val="none"/>
        </w:rPr>
      </w:pPr>
      <w:r>
        <w:rPr>
          <w:rFonts w:hint="eastAsia" w:ascii="仿宋_GB2312" w:hAnsi="仿宋_GB2312" w:eastAsia="仿宋_GB2312" w:cs="仿宋_GB2312"/>
          <w:spacing w:val="-11"/>
          <w:sz w:val="32"/>
          <w:szCs w:val="32"/>
          <w:highlight w:val="none"/>
          <w:lang w:val="en-US" w:eastAsia="zh-CN" w:bidi="ar-SA"/>
        </w:rPr>
        <w:t>一次性使用高压造影注射器及附件、输液接头全省性联盟集采领导小组办公室</w:t>
      </w:r>
      <w:r>
        <w:rPr>
          <w:rFonts w:hint="eastAsia" w:ascii="仿宋_GB2312" w:hAnsi="仿宋_GB2312" w:eastAsia="仿宋_GB2312" w:cs="仿宋_GB2312"/>
          <w:spacing w:val="-11"/>
          <w:sz w:val="32"/>
          <w:szCs w:val="32"/>
          <w:highlight w:val="none"/>
        </w:rPr>
        <w:t>：</w:t>
      </w:r>
    </w:p>
    <w:p w14:paraId="6C25843F">
      <w:pPr>
        <w:pStyle w:val="8"/>
        <w:keepNext w:val="0"/>
        <w:keepLines w:val="0"/>
        <w:pageBreakBefore w:val="0"/>
        <w:widowControl w:val="0"/>
        <w:kinsoku/>
        <w:wordWrap/>
        <w:overflowPunct/>
        <w:topLinePunct w:val="0"/>
        <w:bidi w:val="0"/>
        <w:adjustRightInd/>
        <w:snapToGrid/>
        <w:spacing w:before="0" w:line="580" w:lineRule="exact"/>
        <w:ind w:left="0" w:right="0" w:rightChars="0" w:firstLine="596" w:firstLineChars="200"/>
        <w:textAlignment w:val="auto"/>
        <w:rPr>
          <w:rFonts w:hint="eastAsia" w:ascii="仿宋_GB2312" w:hAnsi="仿宋_GB2312" w:eastAsia="仿宋_GB2312" w:cs="仿宋_GB2312"/>
          <w:spacing w:val="-5"/>
          <w:highlight w:val="none"/>
        </w:rPr>
      </w:pPr>
      <w:r>
        <w:rPr>
          <w:rFonts w:hint="eastAsia" w:ascii="仿宋_GB2312" w:hAnsi="仿宋_GB2312" w:eastAsia="仿宋_GB2312" w:cs="仿宋_GB2312"/>
          <w:spacing w:val="-11"/>
          <w:sz w:val="32"/>
          <w:highlight w:val="none"/>
        </w:rPr>
        <w:t>本</w:t>
      </w:r>
      <w:r>
        <w:rPr>
          <w:rFonts w:hint="eastAsia" w:ascii="仿宋_GB2312" w:hAnsi="仿宋_GB2312" w:eastAsia="仿宋_GB2312" w:cs="仿宋_GB2312"/>
          <w:spacing w:val="-5"/>
          <w:highlight w:val="none"/>
        </w:rPr>
        <w:t>公司申请参</w:t>
      </w:r>
      <w:r>
        <w:rPr>
          <w:rFonts w:hint="eastAsia" w:ascii="仿宋_GB2312" w:hAnsi="仿宋_GB2312" w:eastAsia="仿宋_GB2312" w:cs="仿宋_GB2312"/>
          <w:spacing w:val="-5"/>
          <w:highlight w:val="none"/>
          <w:lang w:val="en-US" w:eastAsia="zh-CN"/>
        </w:rPr>
        <w:t>与</w:t>
      </w:r>
      <w:r>
        <w:rPr>
          <w:rFonts w:hint="eastAsia" w:ascii="仿宋_GB2312" w:hAnsi="仿宋_GB2312" w:eastAsia="仿宋_GB2312" w:cs="仿宋_GB2312"/>
          <w:spacing w:val="-5"/>
          <w:highlight w:val="none"/>
          <w:u w:val="single"/>
          <w:lang w:val="en-US" w:eastAsia="zh-CN"/>
        </w:rPr>
        <w:t>一次性使用高压造影注射器及附件、输液接头全省性联盟集中带量</w:t>
      </w:r>
      <w:r>
        <w:rPr>
          <w:rFonts w:hint="eastAsia" w:ascii="仿宋_GB2312" w:hAnsi="仿宋_GB2312" w:eastAsia="仿宋_GB2312" w:cs="仿宋_GB2312"/>
          <w:spacing w:val="-5"/>
          <w:highlight w:val="none"/>
          <w:u w:val="single"/>
        </w:rPr>
        <w:t>采购</w:t>
      </w:r>
      <w:r>
        <w:rPr>
          <w:rFonts w:hint="eastAsia" w:ascii="仿宋_GB2312" w:hAnsi="仿宋_GB2312" w:eastAsia="仿宋_GB2312" w:cs="仿宋_GB2312"/>
          <w:spacing w:val="-5"/>
          <w:highlight w:val="none"/>
        </w:rPr>
        <w:t>工作，遵守医用耗材采购的相关规定，所提交材料的信息真实有效，如有虚假</w:t>
      </w:r>
      <w:r>
        <w:rPr>
          <w:rFonts w:hint="eastAsia" w:ascii="仿宋_GB2312" w:hAnsi="仿宋_GB2312" w:eastAsia="仿宋_GB2312" w:cs="仿宋_GB2312"/>
          <w:spacing w:val="-5"/>
          <w:highlight w:val="none"/>
          <w:lang w:val="en-US" w:eastAsia="zh-CN"/>
        </w:rPr>
        <w:t>，自</w:t>
      </w:r>
      <w:r>
        <w:rPr>
          <w:rFonts w:hint="eastAsia" w:ascii="仿宋_GB2312" w:hAnsi="仿宋_GB2312" w:eastAsia="仿宋_GB2312" w:cs="仿宋_GB2312"/>
          <w:spacing w:val="-5"/>
          <w:highlight w:val="none"/>
        </w:rPr>
        <w:t>愿承担相应的法律责任。</w:t>
      </w:r>
    </w:p>
    <w:p w14:paraId="2384E55F">
      <w:pPr>
        <w:pStyle w:val="8"/>
        <w:keepNext w:val="0"/>
        <w:keepLines w:val="0"/>
        <w:pageBreakBefore w:val="0"/>
        <w:widowControl w:val="0"/>
        <w:kinsoku/>
        <w:wordWrap/>
        <w:overflowPunct/>
        <w:topLinePunct w:val="0"/>
        <w:bidi w:val="0"/>
        <w:adjustRightInd/>
        <w:snapToGrid/>
        <w:spacing w:before="0" w:line="580" w:lineRule="exact"/>
        <w:ind w:left="0" w:right="0" w:rightChars="0" w:firstLine="620" w:firstLineChars="200"/>
        <w:textAlignment w:val="auto"/>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本公司委托授权员工</w:t>
      </w:r>
      <w:r>
        <w:rPr>
          <w:rFonts w:hint="eastAsia" w:ascii="仿宋_GB2312" w:hAnsi="仿宋_GB2312" w:eastAsia="仿宋_GB2312" w:cs="仿宋_GB2312"/>
          <w:spacing w:val="-5"/>
          <w:highlight w:val="none"/>
          <w:u w:val="single"/>
          <w:lang w:eastAsia="zh-CN"/>
        </w:rPr>
        <w:t xml:space="preserve"> </w:t>
      </w:r>
      <w:r>
        <w:rPr>
          <w:rFonts w:hint="eastAsia" w:ascii="仿宋_GB2312" w:hAnsi="仿宋_GB2312" w:eastAsia="仿宋_GB2312" w:cs="仿宋_GB2312"/>
          <w:spacing w:val="-5"/>
          <w:highlight w:val="none"/>
          <w:u w:val="single"/>
          <w:lang w:val="en-US" w:eastAsia="zh-CN"/>
        </w:rPr>
        <w:t xml:space="preserve">             </w:t>
      </w:r>
      <w:r>
        <w:rPr>
          <w:rFonts w:hint="eastAsia" w:ascii="仿宋_GB2312" w:hAnsi="仿宋_GB2312" w:eastAsia="仿宋_GB2312" w:cs="仿宋_GB2312"/>
          <w:spacing w:val="-5"/>
          <w:w w:val="100"/>
          <w:highlight w:val="none"/>
        </w:rPr>
        <w:t>（身份证号：</w:t>
      </w:r>
      <w:r>
        <w:rPr>
          <w:rFonts w:hint="eastAsia" w:ascii="仿宋_GB2312" w:hAnsi="仿宋_GB2312" w:eastAsia="仿宋_GB2312" w:cs="仿宋_GB2312"/>
          <w:spacing w:val="-5"/>
          <w:w w:val="100"/>
          <w:highlight w:val="none"/>
          <w:u w:val="single"/>
          <w:lang w:val="en-US" w:eastAsia="zh-CN"/>
        </w:rPr>
        <w:t xml:space="preserve">              </w:t>
      </w:r>
      <w:r>
        <w:rPr>
          <w:rFonts w:hint="eastAsia" w:ascii="仿宋_GB2312" w:hAnsi="仿宋_GB2312" w:eastAsia="仿宋_GB2312" w:cs="仿宋_GB2312"/>
          <w:spacing w:val="-5"/>
          <w:highlight w:val="none"/>
        </w:rPr>
        <w:t>联系电话：</w:t>
      </w:r>
      <w:r>
        <w:rPr>
          <w:rFonts w:hint="eastAsia" w:ascii="仿宋_GB2312" w:hAnsi="仿宋_GB2312" w:eastAsia="仿宋_GB2312" w:cs="仿宋_GB2312"/>
          <w:spacing w:val="-5"/>
          <w:highlight w:val="none"/>
          <w:u w:val="single"/>
          <w:lang w:eastAsia="zh-CN"/>
        </w:rPr>
        <w:t xml:space="preserve"> </w:t>
      </w:r>
      <w:r>
        <w:rPr>
          <w:rFonts w:hint="eastAsia" w:ascii="仿宋_GB2312" w:hAnsi="仿宋_GB2312" w:eastAsia="仿宋_GB2312" w:cs="仿宋_GB2312"/>
          <w:spacing w:val="-5"/>
          <w:highlight w:val="none"/>
          <w:u w:val="single"/>
          <w:lang w:val="en-US" w:eastAsia="zh-CN"/>
        </w:rPr>
        <w:t xml:space="preserve">        </w:t>
      </w:r>
      <w:r>
        <w:rPr>
          <w:rFonts w:hint="eastAsia" w:ascii="仿宋_GB2312" w:hAnsi="仿宋_GB2312" w:eastAsia="仿宋_GB2312" w:cs="仿宋_GB2312"/>
          <w:spacing w:val="-5"/>
          <w:highlight w:val="none"/>
        </w:rPr>
        <w:t>）作为本公司授权代表，以本公司名义全权处理</w:t>
      </w:r>
      <w:r>
        <w:rPr>
          <w:rFonts w:hint="eastAsia" w:ascii="仿宋_GB2312" w:hAnsi="仿宋_GB2312" w:eastAsia="仿宋_GB2312" w:cs="仿宋_GB2312"/>
          <w:spacing w:val="-5"/>
          <w:w w:val="100"/>
          <w:highlight w:val="none"/>
        </w:rPr>
        <w:t>包括企业报名、材料申报、报价、申投诉处理等一切有关事务。本企业</w:t>
      </w:r>
      <w:r>
        <w:rPr>
          <w:rFonts w:hint="eastAsia" w:ascii="仿宋_GB2312" w:hAnsi="仿宋_GB2312" w:eastAsia="仿宋_GB2312" w:cs="仿宋_GB2312"/>
          <w:spacing w:val="-5"/>
          <w:highlight w:val="none"/>
        </w:rPr>
        <w:t>认可，被授权人的签字与本企业公章具有相同的法律效力。</w:t>
      </w:r>
    </w:p>
    <w:p w14:paraId="29196410">
      <w:pPr>
        <w:pStyle w:val="8"/>
        <w:keepNext w:val="0"/>
        <w:keepLines w:val="0"/>
        <w:pageBreakBefore w:val="0"/>
        <w:widowControl w:val="0"/>
        <w:kinsoku/>
        <w:wordWrap/>
        <w:overflowPunct/>
        <w:topLinePunct w:val="0"/>
        <w:bidi w:val="0"/>
        <w:spacing w:before="0" w:line="580" w:lineRule="exact"/>
        <w:ind w:right="0" w:rightChars="0"/>
        <w:rPr>
          <w:rFonts w:hint="eastAsia" w:ascii="仿宋_GB2312" w:hAnsi="仿宋_GB2312" w:eastAsia="仿宋_GB2312" w:cs="仿宋_GB2312"/>
          <w:sz w:val="32"/>
          <w:highlight w:val="none"/>
        </w:rPr>
      </w:pPr>
    </w:p>
    <w:p w14:paraId="4F868C1F">
      <w:pPr>
        <w:pStyle w:val="8"/>
        <w:keepNext w:val="0"/>
        <w:keepLines w:val="0"/>
        <w:pageBreakBefore w:val="0"/>
        <w:widowControl w:val="0"/>
        <w:kinsoku/>
        <w:wordWrap/>
        <w:overflowPunct/>
        <w:topLinePunct w:val="0"/>
        <w:bidi w:val="0"/>
        <w:spacing w:before="0" w:line="580" w:lineRule="exact"/>
        <w:ind w:left="0" w:right="0" w:rightChars="0"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法定代表人（签字或盖章）：</w:t>
      </w:r>
    </w:p>
    <w:p w14:paraId="20590EFF">
      <w:pPr>
        <w:pStyle w:val="8"/>
        <w:keepNext w:val="0"/>
        <w:keepLines w:val="0"/>
        <w:pageBreakBefore w:val="0"/>
        <w:widowControl w:val="0"/>
        <w:kinsoku/>
        <w:wordWrap/>
        <w:overflowPunct/>
        <w:topLinePunct w:val="0"/>
        <w:bidi w:val="0"/>
        <w:spacing w:before="0" w:line="580" w:lineRule="exact"/>
        <w:ind w:left="0" w:right="0" w:rightChars="0"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法定代表人身份证号：</w:t>
      </w:r>
    </w:p>
    <w:p w14:paraId="33E6D5E1">
      <w:pPr>
        <w:pStyle w:val="8"/>
        <w:keepNext w:val="0"/>
        <w:keepLines w:val="0"/>
        <w:pageBreakBefore w:val="0"/>
        <w:widowControl w:val="0"/>
        <w:kinsoku/>
        <w:wordWrap/>
        <w:overflowPunct/>
        <w:topLinePunct w:val="0"/>
        <w:bidi w:val="0"/>
        <w:spacing w:before="0" w:line="580" w:lineRule="exact"/>
        <w:ind w:left="0" w:right="0" w:rightChars="0"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法定代表人联系电话：</w:t>
      </w:r>
    </w:p>
    <w:p w14:paraId="1CE8D207">
      <w:pPr>
        <w:pStyle w:val="8"/>
        <w:keepNext w:val="0"/>
        <w:keepLines w:val="0"/>
        <w:pageBreakBefore w:val="0"/>
        <w:widowControl w:val="0"/>
        <w:kinsoku/>
        <w:wordWrap/>
        <w:overflowPunct/>
        <w:topLinePunct w:val="0"/>
        <w:bidi w:val="0"/>
        <w:spacing w:before="0" w:after="0" w:line="580" w:lineRule="exact"/>
        <w:ind w:left="0" w:right="0" w:rightChars="0"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申报企业（全称并加盖公章）：</w:t>
      </w:r>
    </w:p>
    <w:p w14:paraId="1E8CC894">
      <w:pPr>
        <w:keepNext w:val="0"/>
        <w:keepLines w:val="0"/>
        <w:pageBreakBefore w:val="0"/>
        <w:widowControl w:val="0"/>
        <w:kinsoku/>
        <w:wordWrap/>
        <w:overflowPunct/>
        <w:topLinePunct w:val="0"/>
        <w:bidi w:val="0"/>
        <w:spacing w:before="0" w:line="580" w:lineRule="exact"/>
        <w:ind w:left="0" w:right="0" w:rightChars="0" w:firstLine="640" w:firstLineChars="200"/>
        <w:jc w:val="both"/>
        <w:rPr>
          <w:rFonts w:hint="eastAsia" w:ascii="仿宋_GB2312" w:hAnsi="仿宋_GB2312" w:eastAsia="仿宋_GB2312" w:cs="仿宋_GB2312"/>
          <w:sz w:val="32"/>
          <w:szCs w:val="32"/>
          <w:highlight w:val="none"/>
          <w:lang w:val="en-US" w:eastAsia="zh-CN" w:bidi="ar-SA"/>
        </w:rPr>
      </w:pPr>
      <w:r>
        <w:rPr>
          <w:rFonts w:hint="eastAsia" w:ascii="仿宋_GB2312" w:hAnsi="仿宋_GB2312" w:eastAsia="仿宋_GB2312" w:cs="仿宋_GB2312"/>
          <w:sz w:val="32"/>
          <w:szCs w:val="32"/>
          <w:highlight w:val="none"/>
          <w:lang w:val="en-US" w:eastAsia="zh-CN" w:bidi="ar-SA"/>
        </w:rPr>
        <w:t>日     期：</w:t>
      </w:r>
    </w:p>
    <w:p w14:paraId="3F06C4E5">
      <w:pPr>
        <w:spacing w:before="58"/>
        <w:ind w:left="0" w:right="508" w:rightChars="231" w:firstLine="0"/>
        <w:jc w:val="center"/>
        <w:rPr>
          <w:rFonts w:hint="eastAsia" w:ascii="仿宋_GB2312" w:hAnsi="仿宋_GB2312" w:eastAsia="仿宋_GB2312" w:cs="仿宋_GB2312"/>
          <w:b/>
          <w:sz w:val="30"/>
          <w:highlight w:val="none"/>
          <w:lang w:val="en-US" w:eastAsia="zh-CN"/>
        </w:rPr>
      </w:pPr>
    </w:p>
    <w:p w14:paraId="3DA9F944">
      <w:pPr>
        <w:spacing w:before="58"/>
        <w:ind w:left="0" w:right="508" w:rightChars="231" w:firstLine="0"/>
        <w:jc w:val="center"/>
        <w:outlineLvl w:val="9"/>
        <w:rPr>
          <w:rFonts w:hint="eastAsia" w:ascii="仿宋_GB2312" w:hAnsi="仿宋_GB2312" w:eastAsia="仿宋_GB2312" w:cs="仿宋_GB2312"/>
          <w:b/>
          <w:sz w:val="30"/>
          <w:highlight w:val="none"/>
        </w:rPr>
      </w:pPr>
      <w:bookmarkStart w:id="207" w:name="_Toc1878282504"/>
      <w:r>
        <w:rPr>
          <w:rFonts w:hint="eastAsia" w:ascii="仿宋_GB2312" w:hAnsi="仿宋_GB2312" w:eastAsia="仿宋_GB2312" w:cs="仿宋_GB2312"/>
          <w:b/>
          <w:sz w:val="30"/>
          <w:highlight w:val="none"/>
          <w:lang w:val="en-US" w:eastAsia="zh-CN"/>
        </w:rPr>
        <w:t>法定代表人及</w:t>
      </w:r>
      <w:r>
        <w:rPr>
          <w:rFonts w:hint="eastAsia" w:ascii="仿宋_GB2312" w:hAnsi="仿宋_GB2312" w:eastAsia="仿宋_GB2312" w:cs="仿宋_GB2312"/>
          <w:b/>
          <w:sz w:val="30"/>
          <w:highlight w:val="none"/>
        </w:rPr>
        <w:t>代理人（被授权人）居民身份证复印件</w:t>
      </w:r>
      <w:bookmarkEnd w:id="207"/>
    </w:p>
    <w:p w14:paraId="7627F932">
      <w:pPr>
        <w:spacing w:before="178"/>
        <w:ind w:left="0" w:right="508" w:rightChars="231" w:firstLine="0"/>
        <w:jc w:val="center"/>
        <w:rPr>
          <w:rFonts w:hint="eastAsia" w:ascii="仿宋_GB2312" w:hAnsi="仿宋_GB2312" w:eastAsia="仿宋_GB2312" w:cs="仿宋_GB2312"/>
          <w:b/>
          <w:sz w:val="30"/>
          <w:highlight w:val="none"/>
        </w:rPr>
      </w:pPr>
      <w:r>
        <w:rPr>
          <w:color w:val="000000"/>
          <w:highlight w:val="none"/>
        </w:rPr>
        <mc:AlternateContent>
          <mc:Choice Requires="wps">
            <w:drawing>
              <wp:anchor distT="0" distB="0" distL="114300" distR="114300" simplePos="0" relativeHeight="251676672" behindDoc="1" locked="0" layoutInCell="1" allowOverlap="1">
                <wp:simplePos x="0" y="0"/>
                <wp:positionH relativeFrom="page">
                  <wp:posOffset>3845560</wp:posOffset>
                </wp:positionH>
                <wp:positionV relativeFrom="paragraph">
                  <wp:posOffset>4036060</wp:posOffset>
                </wp:positionV>
                <wp:extent cx="2829560" cy="1609090"/>
                <wp:effectExtent l="4445" t="4445" r="23495" b="5715"/>
                <wp:wrapTopAndBottom/>
                <wp:docPr id="20" name="文本框 107"/>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14:paraId="20B7C85C">
                            <w:pPr>
                              <w:keepNext w:val="0"/>
                              <w:keepLines w:val="0"/>
                              <w:pageBreakBefore w:val="0"/>
                              <w:widowControl/>
                              <w:kinsoku/>
                              <w:wordWrap/>
                              <w:overflowPunct/>
                              <w:topLinePunct w:val="0"/>
                              <w:autoSpaceDE/>
                              <w:autoSpaceDN/>
                              <w:bidi w:val="0"/>
                              <w:adjustRightInd/>
                              <w:snapToGrid/>
                              <w:spacing w:before="137" w:after="0" w:line="560" w:lineRule="exact"/>
                              <w:ind w:left="675" w:right="672" w:firstLine="280"/>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代理人（被授权人）</w:t>
                            </w:r>
                          </w:p>
                          <w:p w14:paraId="51BA18F0">
                            <w:pPr>
                              <w:keepNext w:val="0"/>
                              <w:keepLines w:val="0"/>
                              <w:pageBreakBefore w:val="0"/>
                              <w:widowControl/>
                              <w:kinsoku/>
                              <w:wordWrap/>
                              <w:overflowPunct/>
                              <w:topLinePunct w:val="0"/>
                              <w:autoSpaceDE/>
                              <w:autoSpaceDN/>
                              <w:bidi w:val="0"/>
                              <w:adjustRightInd/>
                              <w:snapToGrid/>
                              <w:spacing w:before="137" w:after="0" w:line="560" w:lineRule="exact"/>
                              <w:ind w:right="45"/>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pacing w:val="-2"/>
                                <w:sz w:val="28"/>
                                <w:lang w:eastAsia="zh-CN"/>
                              </w:rPr>
                              <w:t>居民身份证反面复印件粘贴处</w:t>
                            </w:r>
                          </w:p>
                          <w:p w14:paraId="272B2D76">
                            <w:pPr>
                              <w:keepNext w:val="0"/>
                              <w:keepLines w:val="0"/>
                              <w:pageBreakBefore w:val="0"/>
                              <w:widowControl/>
                              <w:kinsoku/>
                              <w:wordWrap/>
                              <w:overflowPunct/>
                              <w:topLinePunct w:val="0"/>
                              <w:autoSpaceDE/>
                              <w:autoSpaceDN/>
                              <w:bidi w:val="0"/>
                              <w:adjustRightInd/>
                              <w:snapToGrid/>
                              <w:spacing w:before="89" w:after="0" w:line="560" w:lineRule="exact"/>
                              <w:jc w:val="center"/>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pacing w:val="-3"/>
                                <w:sz w:val="28"/>
                              </w:rPr>
                              <w:t>加盖单位公章</w:t>
                            </w:r>
                            <w:r>
                              <w:rPr>
                                <w:rFonts w:hint="eastAsia" w:ascii="仿宋_GB2312" w:hAnsi="仿宋_GB2312" w:eastAsia="仿宋_GB2312" w:cs="仿宋_GB2312"/>
                                <w:sz w:val="28"/>
                              </w:rPr>
                              <w:t>）</w:t>
                            </w:r>
                          </w:p>
                        </w:txbxContent>
                      </wps:txbx>
                      <wps:bodyPr lIns="0" tIns="0" rIns="0" bIns="0" upright="1"/>
                    </wps:wsp>
                  </a:graphicData>
                </a:graphic>
              </wp:anchor>
            </w:drawing>
          </mc:Choice>
          <mc:Fallback>
            <w:pict>
              <v:shape id="文本框 107" o:spid="_x0000_s1026" o:spt="202" type="#_x0000_t202" style="position:absolute;left:0pt;margin-left:302.8pt;margin-top:317.8pt;height:126.7pt;width:222.8pt;mso-position-horizontal-relative:page;mso-wrap-distance-bottom:0pt;mso-wrap-distance-top:0pt;z-index:-251639808;mso-width-relative:page;mso-height-relative:page;" filled="f" stroked="t" coordsize="21600,21600" o:gfxdata="UEsDBAoAAAAAAIdO4kAAAAAAAAAAAAAAAAAEAAAAZHJzL1BLAwQUAAAACACHTuJAuY2/6toAAAAM&#10;AQAADwAAAGRycy9kb3ducmV2LnhtbE2PwU7DMAyG70i8Q+RJuyCWdGhVKU13mNgNITZA45g1XlO1&#10;caomW7e3Jz3B7bf86ffnYn21Hbvg4BtHEpKFAIZUOd1QLeHrc/uYAfNBkVadI5RwQw/r8v6uULl2&#10;I+3wsg81iyXkcyXBhNDnnPvKoFV+4XqkuDu5waoQx6HmelBjLLcdXwqRcqsaiheM6nFjsGr3Zyuh&#10;fTcfu8Pb5qd64NjW47c4ZLdXKeezRLwAC3gNfzBM+lEdyuh0dGfSnnUSUrFKIxrD0xQmQqySJbCj&#10;hCx7FsDLgv9/ovwFUEsDBBQAAAAIAIdO4kDM6+2YFAIAADUEAAAOAAAAZHJzL2Uyb0RvYy54bWyt&#10;U82O0zAQviPxDpbvNGmklm3UdCUoi5AQIC08gGs7iSX/yeM26QvAG3Diwp3n2udg7LRdWC49kEjJ&#10;Z8/4m5lvxuvb0WhykAGUsw2dz0pKpOVOKNs19Mvnuxc3lEBkVjDtrGzoUQK93Tx/th58LSvXOy1k&#10;IEhioR58Q/sYfV0UwHtpGMyclxaNrQuGRVyGrhCBDchudFGV5bIYXBA+OC4BcHc7GemJMVxD6NpW&#10;cbl1fG+kjRNrkJpFLAl65YFucrZtK3n82LYgI9ENxUpj/mIQxLv0LTZrVneB+V7xUwrsmhSe1GSY&#10;shj0QrVlkZF9UP9QGcWDA9fGGXemmArJimAV8/KJNvc98zLXglKDv4gO/4+Wfzh8CkSJhlYoiWUG&#10;O/7w/dvDj18PP7+SefkyKTR4qNHx3qNrHF+5EefmvA+4mQof22DSH0siaEey40VfOUbCcbO6qVaL&#10;JZo42ubLcoVv4ikej/sA8a10hiTQ0IANzLqyw3uIk+vZJUWz7k5pnZuoLRkaulpUC+RnOJgtDgRC&#10;47E4sF2mAaeVSEfSYQjd7rUO5MDScOTnlM1fbinelkE/+WVTcmO1UVGGjHrJxBsrSDx61M/ivaEp&#10;GSMFJVriNUsoe0am9DWeKIm2qEySfpI4oTjuRqRJcOfEEduh31mcBpQ0nkE4g90Z7H1QXY9q5qZl&#10;SpymLPtp8tO4/rnOgR9v++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Y2/6toAAAAMAQAADwAA&#10;AAAAAAABACAAAAAiAAAAZHJzL2Rvd25yZXYueG1sUEsBAhQAFAAAAAgAh07iQMzr7ZgUAgAANQQA&#10;AA4AAAAAAAAAAQAgAAAAKQEAAGRycy9lMm9Eb2MueG1sUEsFBgAAAAAGAAYAWQEAAK8FAAAAAA==&#10;">
                <v:fill on="f" focussize="0,0"/>
                <v:stroke color="#000000" joinstyle="miter"/>
                <v:imagedata o:title=""/>
                <o:lock v:ext="edit" aspectratio="f"/>
                <v:textbox inset="0mm,0mm,0mm,0mm">
                  <w:txbxContent>
                    <w:p w14:paraId="20B7C85C">
                      <w:pPr>
                        <w:keepNext w:val="0"/>
                        <w:keepLines w:val="0"/>
                        <w:pageBreakBefore w:val="0"/>
                        <w:widowControl/>
                        <w:kinsoku/>
                        <w:wordWrap/>
                        <w:overflowPunct/>
                        <w:topLinePunct w:val="0"/>
                        <w:autoSpaceDE/>
                        <w:autoSpaceDN/>
                        <w:bidi w:val="0"/>
                        <w:adjustRightInd/>
                        <w:snapToGrid/>
                        <w:spacing w:before="137" w:after="0" w:line="560" w:lineRule="exact"/>
                        <w:ind w:left="675" w:right="672" w:firstLine="280"/>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代理人（被授权人）</w:t>
                      </w:r>
                    </w:p>
                    <w:p w14:paraId="51BA18F0">
                      <w:pPr>
                        <w:keepNext w:val="0"/>
                        <w:keepLines w:val="0"/>
                        <w:pageBreakBefore w:val="0"/>
                        <w:widowControl/>
                        <w:kinsoku/>
                        <w:wordWrap/>
                        <w:overflowPunct/>
                        <w:topLinePunct w:val="0"/>
                        <w:autoSpaceDE/>
                        <w:autoSpaceDN/>
                        <w:bidi w:val="0"/>
                        <w:adjustRightInd/>
                        <w:snapToGrid/>
                        <w:spacing w:before="137" w:after="0" w:line="560" w:lineRule="exact"/>
                        <w:ind w:right="45"/>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pacing w:val="-2"/>
                          <w:sz w:val="28"/>
                          <w:lang w:eastAsia="zh-CN"/>
                        </w:rPr>
                        <w:t>居民身份证反面复印件粘贴处</w:t>
                      </w:r>
                    </w:p>
                    <w:p w14:paraId="272B2D76">
                      <w:pPr>
                        <w:keepNext w:val="0"/>
                        <w:keepLines w:val="0"/>
                        <w:pageBreakBefore w:val="0"/>
                        <w:widowControl/>
                        <w:kinsoku/>
                        <w:wordWrap/>
                        <w:overflowPunct/>
                        <w:topLinePunct w:val="0"/>
                        <w:autoSpaceDE/>
                        <w:autoSpaceDN/>
                        <w:bidi w:val="0"/>
                        <w:adjustRightInd/>
                        <w:snapToGrid/>
                        <w:spacing w:before="89" w:after="0" w:line="560" w:lineRule="exact"/>
                        <w:jc w:val="center"/>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pacing w:val="-3"/>
                          <w:sz w:val="28"/>
                        </w:rPr>
                        <w:t>加盖单位公章</w:t>
                      </w:r>
                      <w:r>
                        <w:rPr>
                          <w:rFonts w:hint="eastAsia" w:ascii="仿宋_GB2312" w:hAnsi="仿宋_GB2312" w:eastAsia="仿宋_GB2312" w:cs="仿宋_GB2312"/>
                          <w:sz w:val="28"/>
                        </w:rPr>
                        <w:t>）</w:t>
                      </w:r>
                    </w:p>
                  </w:txbxContent>
                </v:textbox>
                <w10:wrap type="topAndBottom"/>
              </v:shape>
            </w:pict>
          </mc:Fallback>
        </mc:AlternateContent>
      </w:r>
      <w:r>
        <w:rPr>
          <w:rFonts w:hint="eastAsia" w:ascii="仿宋_GB2312" w:hAnsi="仿宋_GB2312" w:eastAsia="仿宋_GB2312" w:cs="仿宋_GB2312"/>
          <w:b/>
          <w:sz w:val="30"/>
          <w:highlight w:val="none"/>
        </w:rPr>
        <w:t>（骑缝处加盖企业公章）</w:t>
      </w:r>
    </w:p>
    <w:p w14:paraId="61E6B14C">
      <w:pPr>
        <w:spacing w:before="54"/>
        <w:ind w:left="0"/>
        <w:rPr>
          <w:rFonts w:hint="eastAsia" w:ascii="仿宋" w:hAnsi="仿宋" w:eastAsia="仿宋" w:cs="仿宋"/>
          <w:sz w:val="22"/>
          <w:szCs w:val="22"/>
          <w:highlight w:val="none"/>
          <w:lang w:val="en-US" w:eastAsia="zh-CN" w:bidi="ar-SA"/>
        </w:rPr>
      </w:pPr>
      <w:r>
        <w:rPr>
          <w:color w:val="000000"/>
          <w:highlight w:val="none"/>
        </w:rPr>
        <mc:AlternateContent>
          <mc:Choice Requires="wps">
            <w:drawing>
              <wp:anchor distT="0" distB="0" distL="114300" distR="114300" simplePos="0" relativeHeight="251675648" behindDoc="1" locked="0" layoutInCell="1" allowOverlap="1">
                <wp:simplePos x="0" y="0"/>
                <wp:positionH relativeFrom="page">
                  <wp:posOffset>862965</wp:posOffset>
                </wp:positionH>
                <wp:positionV relativeFrom="paragraph">
                  <wp:posOffset>3672840</wp:posOffset>
                </wp:positionV>
                <wp:extent cx="2829560" cy="1609090"/>
                <wp:effectExtent l="4445" t="4445" r="23495" b="5715"/>
                <wp:wrapTopAndBottom/>
                <wp:docPr id="6" name="文本框 104"/>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14:paraId="3F247CAE">
                            <w:pPr>
                              <w:keepNext w:val="0"/>
                              <w:keepLines w:val="0"/>
                              <w:pageBreakBefore w:val="0"/>
                              <w:widowControl/>
                              <w:kinsoku/>
                              <w:wordWrap/>
                              <w:overflowPunct/>
                              <w:topLinePunct w:val="0"/>
                              <w:autoSpaceDE/>
                              <w:autoSpaceDN/>
                              <w:bidi w:val="0"/>
                              <w:adjustRightInd/>
                              <w:snapToGrid/>
                              <w:spacing w:before="137" w:after="0" w:line="600" w:lineRule="exact"/>
                              <w:ind w:left="661" w:right="659"/>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法定代表人</w:t>
                            </w:r>
                          </w:p>
                          <w:p w14:paraId="40C776AB">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pacing w:val="-2"/>
                                <w:sz w:val="28"/>
                                <w:lang w:eastAsia="zh-CN"/>
                              </w:rPr>
                            </w:pPr>
                            <w:r>
                              <w:rPr>
                                <w:rFonts w:hint="eastAsia" w:ascii="仿宋_GB2312" w:hAnsi="仿宋_GB2312" w:eastAsia="仿宋_GB2312" w:cs="仿宋_GB2312"/>
                                <w:b/>
                                <w:spacing w:val="-2"/>
                                <w:sz w:val="28"/>
                                <w:lang w:eastAsia="zh-CN"/>
                              </w:rPr>
                              <w:t>居民身份证反面复印件粘贴处</w:t>
                            </w:r>
                          </w:p>
                          <w:p w14:paraId="5A6437CA">
                            <w:pPr>
                              <w:keepNext w:val="0"/>
                              <w:keepLines w:val="0"/>
                              <w:pageBreakBefore w:val="0"/>
                              <w:widowControl/>
                              <w:kinsoku/>
                              <w:wordWrap/>
                              <w:overflowPunct/>
                              <w:topLinePunct w:val="0"/>
                              <w:autoSpaceDE/>
                              <w:autoSpaceDN/>
                              <w:bidi w:val="0"/>
                              <w:adjustRightInd/>
                              <w:snapToGrid/>
                              <w:spacing w:before="243" w:after="0" w:line="600" w:lineRule="exact"/>
                              <w:ind w:left="661" w:right="659"/>
                              <w:jc w:val="center"/>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w:t>
                            </w:r>
                            <w:r>
                              <w:rPr>
                                <w:rFonts w:hint="eastAsia" w:ascii="仿宋_GB2312" w:hAnsi="仿宋_GB2312" w:eastAsia="仿宋_GB2312" w:cs="仿宋_GB2312"/>
                                <w:spacing w:val="-3"/>
                                <w:sz w:val="28"/>
                                <w:lang w:eastAsia="zh-CN"/>
                              </w:rPr>
                              <w:t>加盖单位公章</w:t>
                            </w:r>
                            <w:r>
                              <w:rPr>
                                <w:rFonts w:hint="eastAsia" w:ascii="仿宋_GB2312" w:hAnsi="仿宋_GB2312" w:eastAsia="仿宋_GB2312" w:cs="仿宋_GB2312"/>
                                <w:sz w:val="28"/>
                                <w:lang w:eastAsia="zh-CN"/>
                              </w:rPr>
                              <w:t>）</w:t>
                            </w:r>
                          </w:p>
                        </w:txbxContent>
                      </wps:txbx>
                      <wps:bodyPr lIns="0" tIns="0" rIns="0" bIns="0" upright="1"/>
                    </wps:wsp>
                  </a:graphicData>
                </a:graphic>
              </wp:anchor>
            </w:drawing>
          </mc:Choice>
          <mc:Fallback>
            <w:pict>
              <v:shape id="文本框 104" o:spid="_x0000_s1026" o:spt="202" type="#_x0000_t202" style="position:absolute;left:0pt;margin-left:67.95pt;margin-top:289.2pt;height:126.7pt;width:222.8pt;mso-position-horizontal-relative:page;mso-wrap-distance-bottom:0pt;mso-wrap-distance-top:0pt;z-index:-251640832;mso-width-relative:page;mso-height-relative:page;" filled="f" stroked="t" coordsize="21600,21600" o:gfxdata="UEsDBAoAAAAAAIdO4kAAAAAAAAAAAAAAAAAEAAAAZHJzL1BLAwQUAAAACACHTuJAQDnm8toAAAAL&#10;AQAADwAAAGRycy9kb3ducmV2LnhtbE2PwU7DMBBE70j8g7VIXBC1QwmYEKeHCm4I0dKqHN14iaPE&#10;6yh2m/bvMSc4jvZp5m25OLmeHXEMrScF2UwAQ6q9aalRsPl8vZXAQtRkdO8JFZwxwKK6vCh1YfxE&#10;KzyuY8NSCYVCK7AxDgXnobbodJj5ASndvv3odExxbLgZ9ZTKXc/vhHjgTreUFqwecGmx7tYHp6B7&#10;tx+r3dvyq77h2DXTVuzk+UWp66tMPAOLeIp/MPzqJ3WoktPeH8gE1qc8z58SqiB/lPfAEpHLLAe2&#10;VyDnmQRelfz/D9UPUEsDBBQAAAAIAIdO4kCdxihOFAIAADQEAAAOAAAAZHJzL2Uyb0RvYy54bWyt&#10;U82O0zAQviPxDpbvNGlFq23UdCUoi5AQIC08gGs7iSX/yeM26QvAG3Diwp3n6nMwdtouu3vpgURK&#10;PnvG38x8M17dDkaTvQygnK3pdFJSIi13Qtm2pt++3r26oQQis4JpZ2VNDxLo7frli1XvKzlzndNC&#10;BoIkFqre17SL0VdFAbyThsHEeWnR2LhgWMRlaAsRWI/sRhezslwUvQvCB8clAO5uRiM9MYZrCF3T&#10;KC43ju+MtHFkDVKziCVBpzzQdc62aSSPn5sGZCS6plhpzF8MgnibvsV6xao2MN8pfkqBXZPCk5oM&#10;UxaDXqg2LDKyC+oZlVE8OHBNnHBnirGQrAhWMS2faHPfMS9zLSg1+Ivo8P9o+af9l0CUqOmCEssM&#10;Nvz488fx15/j7+9kWr5OAvUeKvS79+gZhzduwLE57wNuprqHJpj0x4oI2lHew0VeOUTCcXN2M1vO&#10;F2jiaJsuyiW+iad4OO4DxPfSGZJATQP2L8vK9h8hjq5nlxTNujulde6htqSv6XI+myM/w7lscB4Q&#10;Go+1gW0zDTitRDqSDkNot291IHuWZiM/p2weuaV4Gwbd6JdNyY1VRkUZMuokE++sIPHgUT+L14am&#10;ZIwUlGiJtyyh7BmZ0td4oiTaojJJ+lHihOKwHZAmwa0TB2yH/mBxGNJgn0E4g+0Z7HxQbYdq5qZl&#10;ShymLPtp8NO0/rvOgR8u+/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Dnm8toAAAALAQAADwAA&#10;AAAAAAABACAAAAAiAAAAZHJzL2Rvd25yZXYueG1sUEsBAhQAFAAAAAgAh07iQJ3GKE4UAgAANAQA&#10;AA4AAAAAAAAAAQAgAAAAKQEAAGRycy9lMm9Eb2MueG1sUEsFBgAAAAAGAAYAWQEAAK8FAAAAAA==&#10;">
                <v:fill on="f" focussize="0,0"/>
                <v:stroke color="#000000" joinstyle="miter"/>
                <v:imagedata o:title=""/>
                <o:lock v:ext="edit" aspectratio="f"/>
                <v:textbox inset="0mm,0mm,0mm,0mm">
                  <w:txbxContent>
                    <w:p w14:paraId="3F247CAE">
                      <w:pPr>
                        <w:keepNext w:val="0"/>
                        <w:keepLines w:val="0"/>
                        <w:pageBreakBefore w:val="0"/>
                        <w:widowControl/>
                        <w:kinsoku/>
                        <w:wordWrap/>
                        <w:overflowPunct/>
                        <w:topLinePunct w:val="0"/>
                        <w:autoSpaceDE/>
                        <w:autoSpaceDN/>
                        <w:bidi w:val="0"/>
                        <w:adjustRightInd/>
                        <w:snapToGrid/>
                        <w:spacing w:before="137" w:after="0" w:line="600" w:lineRule="exact"/>
                        <w:ind w:left="661" w:right="659"/>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法定代表人</w:t>
                      </w:r>
                    </w:p>
                    <w:p w14:paraId="40C776AB">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pacing w:val="-2"/>
                          <w:sz w:val="28"/>
                          <w:lang w:eastAsia="zh-CN"/>
                        </w:rPr>
                      </w:pPr>
                      <w:r>
                        <w:rPr>
                          <w:rFonts w:hint="eastAsia" w:ascii="仿宋_GB2312" w:hAnsi="仿宋_GB2312" w:eastAsia="仿宋_GB2312" w:cs="仿宋_GB2312"/>
                          <w:b/>
                          <w:spacing w:val="-2"/>
                          <w:sz w:val="28"/>
                          <w:lang w:eastAsia="zh-CN"/>
                        </w:rPr>
                        <w:t>居民身份证反面复印件粘贴处</w:t>
                      </w:r>
                    </w:p>
                    <w:p w14:paraId="5A6437CA">
                      <w:pPr>
                        <w:keepNext w:val="0"/>
                        <w:keepLines w:val="0"/>
                        <w:pageBreakBefore w:val="0"/>
                        <w:widowControl/>
                        <w:kinsoku/>
                        <w:wordWrap/>
                        <w:overflowPunct/>
                        <w:topLinePunct w:val="0"/>
                        <w:autoSpaceDE/>
                        <w:autoSpaceDN/>
                        <w:bidi w:val="0"/>
                        <w:adjustRightInd/>
                        <w:snapToGrid/>
                        <w:spacing w:before="243" w:after="0" w:line="600" w:lineRule="exact"/>
                        <w:ind w:left="661" w:right="659"/>
                        <w:jc w:val="center"/>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w:t>
                      </w:r>
                      <w:r>
                        <w:rPr>
                          <w:rFonts w:hint="eastAsia" w:ascii="仿宋_GB2312" w:hAnsi="仿宋_GB2312" w:eastAsia="仿宋_GB2312" w:cs="仿宋_GB2312"/>
                          <w:spacing w:val="-3"/>
                          <w:sz w:val="28"/>
                          <w:lang w:eastAsia="zh-CN"/>
                        </w:rPr>
                        <w:t>加盖单位公章</w:t>
                      </w:r>
                      <w:r>
                        <w:rPr>
                          <w:rFonts w:hint="eastAsia" w:ascii="仿宋_GB2312" w:hAnsi="仿宋_GB2312" w:eastAsia="仿宋_GB2312" w:cs="仿宋_GB2312"/>
                          <w:sz w:val="28"/>
                          <w:lang w:eastAsia="zh-CN"/>
                        </w:rPr>
                        <w:t>）</w:t>
                      </w:r>
                    </w:p>
                  </w:txbxContent>
                </v:textbox>
                <w10:wrap type="topAndBottom"/>
              </v:shape>
            </w:pict>
          </mc:Fallback>
        </mc:AlternateContent>
      </w:r>
      <w:r>
        <w:rPr>
          <w:color w:val="000000"/>
          <w:highlight w:val="none"/>
        </w:rPr>
        <mc:AlternateContent>
          <mc:Choice Requires="wps">
            <w:drawing>
              <wp:anchor distT="0" distB="0" distL="114300" distR="114300" simplePos="0" relativeHeight="251673600" behindDoc="1" locked="0" layoutInCell="1" allowOverlap="1">
                <wp:simplePos x="0" y="0"/>
                <wp:positionH relativeFrom="page">
                  <wp:posOffset>893445</wp:posOffset>
                </wp:positionH>
                <wp:positionV relativeFrom="paragraph">
                  <wp:posOffset>1782445</wp:posOffset>
                </wp:positionV>
                <wp:extent cx="2829560" cy="1609090"/>
                <wp:effectExtent l="4445" t="4445" r="23495" b="5715"/>
                <wp:wrapTopAndBottom/>
                <wp:docPr id="4" name="Text Box 21"/>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14:paraId="17CA807D">
                            <w:pPr>
                              <w:keepNext w:val="0"/>
                              <w:keepLines w:val="0"/>
                              <w:pageBreakBefore w:val="0"/>
                              <w:widowControl/>
                              <w:kinsoku/>
                              <w:wordWrap/>
                              <w:overflowPunct/>
                              <w:topLinePunct w:val="0"/>
                              <w:autoSpaceDE/>
                              <w:autoSpaceDN/>
                              <w:bidi w:val="0"/>
                              <w:adjustRightInd/>
                              <w:snapToGrid/>
                              <w:spacing w:before="137" w:after="0" w:line="600" w:lineRule="exact"/>
                              <w:ind w:left="661" w:right="659"/>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法定代表人</w:t>
                            </w:r>
                          </w:p>
                          <w:p w14:paraId="67F463B4">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pacing w:val="-2"/>
                                <w:sz w:val="28"/>
                                <w:lang w:eastAsia="zh-CN"/>
                              </w:rPr>
                            </w:pPr>
                            <w:r>
                              <w:rPr>
                                <w:rFonts w:hint="eastAsia" w:ascii="仿宋_GB2312" w:hAnsi="仿宋_GB2312" w:eastAsia="仿宋_GB2312" w:cs="仿宋_GB2312"/>
                                <w:b/>
                                <w:spacing w:val="-2"/>
                                <w:sz w:val="28"/>
                                <w:lang w:eastAsia="zh-CN"/>
                              </w:rPr>
                              <w:t>居民身份证正面复印件粘贴处</w:t>
                            </w:r>
                          </w:p>
                          <w:p w14:paraId="5FDFB384">
                            <w:pPr>
                              <w:keepNext w:val="0"/>
                              <w:keepLines w:val="0"/>
                              <w:pageBreakBefore w:val="0"/>
                              <w:widowControl/>
                              <w:kinsoku/>
                              <w:wordWrap/>
                              <w:overflowPunct/>
                              <w:topLinePunct w:val="0"/>
                              <w:autoSpaceDE/>
                              <w:autoSpaceDN/>
                              <w:bidi w:val="0"/>
                              <w:adjustRightInd/>
                              <w:snapToGrid/>
                              <w:spacing w:before="243" w:after="0" w:line="600" w:lineRule="exact"/>
                              <w:ind w:left="661" w:right="659"/>
                              <w:jc w:val="center"/>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w:t>
                            </w:r>
                            <w:r>
                              <w:rPr>
                                <w:rFonts w:hint="eastAsia" w:ascii="仿宋_GB2312" w:hAnsi="仿宋_GB2312" w:eastAsia="仿宋_GB2312" w:cs="仿宋_GB2312"/>
                                <w:spacing w:val="-3"/>
                                <w:sz w:val="28"/>
                                <w:lang w:eastAsia="zh-CN"/>
                              </w:rPr>
                              <w:t>加盖单位公章</w:t>
                            </w:r>
                            <w:r>
                              <w:rPr>
                                <w:rFonts w:hint="eastAsia" w:ascii="仿宋_GB2312" w:hAnsi="仿宋_GB2312" w:eastAsia="仿宋_GB2312" w:cs="仿宋_GB2312"/>
                                <w:sz w:val="28"/>
                                <w:lang w:eastAsia="zh-CN"/>
                              </w:rPr>
                              <w:t>）</w:t>
                            </w:r>
                          </w:p>
                        </w:txbxContent>
                      </wps:txbx>
                      <wps:bodyPr lIns="0" tIns="0" rIns="0" bIns="0" upright="1"/>
                    </wps:wsp>
                  </a:graphicData>
                </a:graphic>
              </wp:anchor>
            </w:drawing>
          </mc:Choice>
          <mc:Fallback>
            <w:pict>
              <v:shape id="Text Box 21" o:spid="_x0000_s1026" o:spt="202" type="#_x0000_t202" style="position:absolute;left:0pt;margin-left:70.35pt;margin-top:140.35pt;height:126.7pt;width:222.8pt;mso-position-horizontal-relative:page;mso-wrap-distance-bottom:0pt;mso-wrap-distance-top:0pt;z-index:-251642880;mso-width-relative:page;mso-height-relative:page;" filled="f" stroked="t" coordsize="21600,21600" o:gfxdata="UEsDBAoAAAAAAIdO4kAAAAAAAAAAAAAAAAAEAAAAZHJzL1BLAwQUAAAACACHTuJAEN6ECtoAAAAL&#10;AQAADwAAAGRycy9kb3ducmV2LnhtbE2PwU7DMBBE70j8g7VIXBC105YShTg9VHBDqC2gcnTjJYkS&#10;r6PYbdq/7/YEtxnt0+xMvjy5ThxxCI0nDclEgUAqvW2o0vD1+faYggjRkDWdJ9RwxgDL4vYmN5n1&#10;I23wuI2V4BAKmdFQx9hnUoayRmfCxPdIfPv1gzOR7VBJO5iRw10np0otpDMN8Yfa9LiqsWy3B6eh&#10;/ajXm9376qd8kNhW47fapedXre/vEvUCIuIp/sFwrc/VoeBOe38gG0THfq6eGdUwTa+Ciad0MQOx&#10;ZzGbJyCLXP7fUFwAUEsDBBQAAAAIAIdO4kBUtt/xBAIAADIEAAAOAAAAZHJzL2Uyb0RvYy54bWyt&#10;U9tu2zAMfR+wfxD0vjgxlqAx4hRosw4Dhm1Auw+QJdkWoBtEJXb+fpQcp133koclgH1MUofkIbW7&#10;H40mJxlAOVvT1WJJibTcCWW7mv5+efp0RwlEZgXTzsqaniXQ+/3HD7vBV7J0vdNCBoIkFqrB17SP&#10;0VdFAbyXhsHCeWnR2bpgWMTP0BUisAHZjS7K5XJTDC4IHxyXAGg9TE56YQy3ELq2VVweHD8aaePE&#10;GqRmEVuCXnmg+1xt20oef7YtyEh0TbHTmJ+YBHGTnsV+x6ouMN8rfimB3VLCu54MUxaTXqkOLDJy&#10;DOofKqN4cODauODOFFMjWRHsYrV8p81zz7zMvaDU4K+iw/+j5T9OvwJRoqafKbHM4MBf5BjJgxtJ&#10;uUryDB4qjHr2GBdHtOPSzHZAY+p6bINJb+yHoB/FPV/FTWwcjeVduV1v0MXRt9ost/hPPMXrcR8g&#10;fpXOkARqGnB6WVR2+g5xCp1DUjbrnpTWeYLakqGm23W5Rn6GW9niNiA0HjsD22UacFqJdCQdhtA1&#10;jzqQE0ubkX+Xav4KS/kODPopLrtSGKuMijJk1EsmvlhB4tmjehYvDU3FGCko0RLvWEI5MjKlb4lE&#10;SbRFZZL0k8QJxbEZkSbBxokzjkN/s7gKaa1nEGbQzODog+p6VDMPLVPiKmXZL2ufdvXtd078etX3&#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Q3oQK2gAAAAsBAAAPAAAAAAAAAAEAIAAAACIAAABk&#10;cnMvZG93bnJldi54bWxQSwECFAAUAAAACACHTuJAVLbf8QQCAAAyBAAADgAAAAAAAAABACAAAAAp&#10;AQAAZHJzL2Uyb0RvYy54bWxQSwUGAAAAAAYABgBZAQAAnwUAAAAA&#10;">
                <v:fill on="f" focussize="0,0"/>
                <v:stroke color="#000000" joinstyle="miter"/>
                <v:imagedata o:title=""/>
                <o:lock v:ext="edit" aspectratio="f"/>
                <v:textbox inset="0mm,0mm,0mm,0mm">
                  <w:txbxContent>
                    <w:p w14:paraId="17CA807D">
                      <w:pPr>
                        <w:keepNext w:val="0"/>
                        <w:keepLines w:val="0"/>
                        <w:pageBreakBefore w:val="0"/>
                        <w:widowControl/>
                        <w:kinsoku/>
                        <w:wordWrap/>
                        <w:overflowPunct/>
                        <w:topLinePunct w:val="0"/>
                        <w:autoSpaceDE/>
                        <w:autoSpaceDN/>
                        <w:bidi w:val="0"/>
                        <w:adjustRightInd/>
                        <w:snapToGrid/>
                        <w:spacing w:before="137" w:after="0" w:line="600" w:lineRule="exact"/>
                        <w:ind w:left="661" w:right="659"/>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法定代表人</w:t>
                      </w:r>
                    </w:p>
                    <w:p w14:paraId="67F463B4">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pacing w:val="-2"/>
                          <w:sz w:val="28"/>
                          <w:lang w:eastAsia="zh-CN"/>
                        </w:rPr>
                      </w:pPr>
                      <w:r>
                        <w:rPr>
                          <w:rFonts w:hint="eastAsia" w:ascii="仿宋_GB2312" w:hAnsi="仿宋_GB2312" w:eastAsia="仿宋_GB2312" w:cs="仿宋_GB2312"/>
                          <w:b/>
                          <w:spacing w:val="-2"/>
                          <w:sz w:val="28"/>
                          <w:lang w:eastAsia="zh-CN"/>
                        </w:rPr>
                        <w:t>居民身份证正面复印件粘贴处</w:t>
                      </w:r>
                    </w:p>
                    <w:p w14:paraId="5FDFB384">
                      <w:pPr>
                        <w:keepNext w:val="0"/>
                        <w:keepLines w:val="0"/>
                        <w:pageBreakBefore w:val="0"/>
                        <w:widowControl/>
                        <w:kinsoku/>
                        <w:wordWrap/>
                        <w:overflowPunct/>
                        <w:topLinePunct w:val="0"/>
                        <w:autoSpaceDE/>
                        <w:autoSpaceDN/>
                        <w:bidi w:val="0"/>
                        <w:adjustRightInd/>
                        <w:snapToGrid/>
                        <w:spacing w:before="243" w:after="0" w:line="600" w:lineRule="exact"/>
                        <w:ind w:left="661" w:right="659"/>
                        <w:jc w:val="center"/>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w:t>
                      </w:r>
                      <w:r>
                        <w:rPr>
                          <w:rFonts w:hint="eastAsia" w:ascii="仿宋_GB2312" w:hAnsi="仿宋_GB2312" w:eastAsia="仿宋_GB2312" w:cs="仿宋_GB2312"/>
                          <w:spacing w:val="-3"/>
                          <w:sz w:val="28"/>
                          <w:lang w:eastAsia="zh-CN"/>
                        </w:rPr>
                        <w:t>加盖单位公章</w:t>
                      </w:r>
                      <w:r>
                        <w:rPr>
                          <w:rFonts w:hint="eastAsia" w:ascii="仿宋_GB2312" w:hAnsi="仿宋_GB2312" w:eastAsia="仿宋_GB2312" w:cs="仿宋_GB2312"/>
                          <w:sz w:val="28"/>
                          <w:lang w:eastAsia="zh-CN"/>
                        </w:rPr>
                        <w:t>）</w:t>
                      </w:r>
                    </w:p>
                  </w:txbxContent>
                </v:textbox>
                <w10:wrap type="topAndBottom"/>
              </v:shape>
            </w:pict>
          </mc:Fallback>
        </mc:AlternateContent>
      </w:r>
      <w:r>
        <w:rPr>
          <w:color w:val="000000"/>
          <w:highlight w:val="none"/>
        </w:rPr>
        <mc:AlternateContent>
          <mc:Choice Requires="wps">
            <w:drawing>
              <wp:anchor distT="0" distB="0" distL="114300" distR="114300" simplePos="0" relativeHeight="251674624" behindDoc="1" locked="0" layoutInCell="1" allowOverlap="1">
                <wp:simplePos x="0" y="0"/>
                <wp:positionH relativeFrom="page">
                  <wp:posOffset>3843655</wp:posOffset>
                </wp:positionH>
                <wp:positionV relativeFrom="paragraph">
                  <wp:posOffset>1782445</wp:posOffset>
                </wp:positionV>
                <wp:extent cx="2829560" cy="1609090"/>
                <wp:effectExtent l="4445" t="4445" r="23495" b="5715"/>
                <wp:wrapTopAndBottom/>
                <wp:docPr id="5" name="Text Box 22"/>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14:paraId="3193DEE2">
                            <w:pPr>
                              <w:keepNext w:val="0"/>
                              <w:keepLines w:val="0"/>
                              <w:pageBreakBefore w:val="0"/>
                              <w:widowControl/>
                              <w:kinsoku/>
                              <w:wordWrap/>
                              <w:overflowPunct/>
                              <w:topLinePunct w:val="0"/>
                              <w:autoSpaceDE/>
                              <w:autoSpaceDN/>
                              <w:bidi w:val="0"/>
                              <w:adjustRightInd/>
                              <w:snapToGrid/>
                              <w:spacing w:before="137" w:after="0" w:line="600" w:lineRule="exact"/>
                              <w:ind w:left="675" w:right="672" w:firstLine="280"/>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代理人（被授权人）</w:t>
                            </w:r>
                          </w:p>
                          <w:p w14:paraId="77DDFA40">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pacing w:val="-2"/>
                                <w:sz w:val="28"/>
                                <w:lang w:eastAsia="zh-CN"/>
                              </w:rPr>
                              <w:t>居民身份证正面复印件粘贴处</w:t>
                            </w:r>
                          </w:p>
                          <w:p w14:paraId="00525E81">
                            <w:pPr>
                              <w:keepNext w:val="0"/>
                              <w:keepLines w:val="0"/>
                              <w:pageBreakBefore w:val="0"/>
                              <w:widowControl/>
                              <w:kinsoku/>
                              <w:wordWrap/>
                              <w:overflowPunct/>
                              <w:topLinePunct w:val="0"/>
                              <w:autoSpaceDE/>
                              <w:autoSpaceDN/>
                              <w:bidi w:val="0"/>
                              <w:adjustRightInd/>
                              <w:snapToGrid/>
                              <w:spacing w:before="89" w:after="0" w:line="600" w:lineRule="exact"/>
                              <w:jc w:val="center"/>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pacing w:val="-3"/>
                                <w:sz w:val="28"/>
                              </w:rPr>
                              <w:t>加盖单位公章</w:t>
                            </w:r>
                            <w:r>
                              <w:rPr>
                                <w:rFonts w:hint="eastAsia" w:ascii="仿宋_GB2312" w:hAnsi="仿宋_GB2312" w:eastAsia="仿宋_GB2312" w:cs="仿宋_GB2312"/>
                                <w:sz w:val="28"/>
                              </w:rPr>
                              <w:t>）</w:t>
                            </w:r>
                          </w:p>
                        </w:txbxContent>
                      </wps:txbx>
                      <wps:bodyPr lIns="0" tIns="0" rIns="0" bIns="0" upright="1"/>
                    </wps:wsp>
                  </a:graphicData>
                </a:graphic>
              </wp:anchor>
            </w:drawing>
          </mc:Choice>
          <mc:Fallback>
            <w:pict>
              <v:shape id="Text Box 22" o:spid="_x0000_s1026" o:spt="202" type="#_x0000_t202" style="position:absolute;left:0pt;margin-left:302.65pt;margin-top:140.35pt;height:126.7pt;width:222.8pt;mso-position-horizontal-relative:page;mso-wrap-distance-bottom:0pt;mso-wrap-distance-top:0pt;z-index:-251641856;mso-width-relative:page;mso-height-relative:page;" filled="f" stroked="t" coordsize="21600,21600" o:gfxdata="UEsDBAoAAAAAAIdO4kAAAAAAAAAAAAAAAAAEAAAAZHJzL1BLAwQUAAAACACHTuJAneaXONwAAAAM&#10;AQAADwAAAGRycy9kb3ducmV2LnhtbE2PwU7DMBBE70j8g7VIXBC105ISQjY9VHBDqC2tytGNlzhK&#10;bEex27R/j3uC42qeZt4Wi7Pp2IkG3ziLkEwEMLKVU42tEbZf748ZMB+kVbJzlhAu5GFR3t4UMldu&#10;tGs6bULNYon1uUTQIfQ5577SZKSfuJ5szH7cYGSI51BzNcgxlpuOT4WYcyMbGxe07GmpqWo3R4PQ&#10;furVev+x/K4eOLX1uBP77PKGeH+XiFdggc7hD4arflSHMjod3NEqzzqEuUhnEUWYZuIZ2JUQqXgB&#10;dkBIZ08J8LLg/58ofwFQSwMEFAAAAAgAh07iQNqE9DMDAgAAMgQAAA4AAABkcnMvZTJvRG9jLnht&#10;bK1T24rbMBB9L/QfhN4bO4aEjYmz0KZbCqUt7PYDZEm2BbqhUWLn7zuS42y7fclDE7DHM6Mzc86M&#10;9o+T0eQsAyhnG7pelZRIy51Qtm/or5enDw+UQGRWMO2sbOhFAn08vH+3H30tKzc4LWQgCGKhHn1D&#10;hxh9XRTAB2kYrJyXFoOdC4ZF/Ax9IQIbEd3ooirLbTG6IHxwXAKg9zgH6RUx3APouk5xeXT8ZKSN&#10;M2qQmkWkBIPyQA+5266TPP7oOpCR6IYi05ifWATtNj2Lw57VfWB+UPzaArunhTecDFMWi96gjiwy&#10;cgrqHyijeHDgurjizhQzkawIsliXb7R5HpiXmQtKDf4mOvw/WP79/DMQJRq6ocQygwN/kVMkH91E&#10;qirJM3qoMevZY16c0I9Ls/gBnYn11AWT3siHYBzFvdzETWgcndVDtdtsMcQxtt6WO/wnnOL1uA8Q&#10;v0hnSDIaGnB6WVR2/gZxTl1SUjXrnpTWeYLakrGhu02FLDjDrexwG9A0HpmB7TMMOK1EOpIOQ+jb&#10;TzqQM0ubkX/Xbv5KS/WODIY5L4dSGquNijJka5BMfLaCxItH9SxeGpqaMVJQoiXesWTlzMiUvicT&#10;JdEWlUnSzxInK07thDDJbJ244Dj0V4urkNZ6McJitItx8kH1A6qZh5YhcZWy7Ne1T7v653cu/HrV&#10;D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eaXONwAAAAMAQAADwAAAAAAAAABACAAAAAiAAAA&#10;ZHJzL2Rvd25yZXYueG1sUEsBAhQAFAAAAAgAh07iQNqE9DMDAgAAMgQAAA4AAAAAAAAAAQAgAAAA&#10;KwEAAGRycy9lMm9Eb2MueG1sUEsFBgAAAAAGAAYAWQEAAKAFAAAAAA==&#10;">
                <v:fill on="f" focussize="0,0"/>
                <v:stroke color="#000000" joinstyle="miter"/>
                <v:imagedata o:title=""/>
                <o:lock v:ext="edit" aspectratio="f"/>
                <v:textbox inset="0mm,0mm,0mm,0mm">
                  <w:txbxContent>
                    <w:p w14:paraId="3193DEE2">
                      <w:pPr>
                        <w:keepNext w:val="0"/>
                        <w:keepLines w:val="0"/>
                        <w:pageBreakBefore w:val="0"/>
                        <w:widowControl/>
                        <w:kinsoku/>
                        <w:wordWrap/>
                        <w:overflowPunct/>
                        <w:topLinePunct w:val="0"/>
                        <w:autoSpaceDE/>
                        <w:autoSpaceDN/>
                        <w:bidi w:val="0"/>
                        <w:adjustRightInd/>
                        <w:snapToGrid/>
                        <w:spacing w:before="137" w:after="0" w:line="600" w:lineRule="exact"/>
                        <w:ind w:left="675" w:right="672" w:firstLine="280"/>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z w:val="28"/>
                          <w:lang w:eastAsia="zh-CN"/>
                        </w:rPr>
                        <w:t>代理人（被授权人）</w:t>
                      </w:r>
                    </w:p>
                    <w:p w14:paraId="77DDFA40">
                      <w:pPr>
                        <w:keepNext w:val="0"/>
                        <w:keepLines w:val="0"/>
                        <w:pageBreakBefore w:val="0"/>
                        <w:widowControl/>
                        <w:kinsoku/>
                        <w:wordWrap/>
                        <w:overflowPunct/>
                        <w:topLinePunct w:val="0"/>
                        <w:autoSpaceDE/>
                        <w:autoSpaceDN/>
                        <w:bidi w:val="0"/>
                        <w:adjustRightInd/>
                        <w:snapToGrid/>
                        <w:spacing w:before="137" w:after="0" w:line="600" w:lineRule="exact"/>
                        <w:ind w:right="45"/>
                        <w:jc w:val="center"/>
                        <w:textAlignment w:val="auto"/>
                        <w:rPr>
                          <w:rFonts w:hint="eastAsia" w:ascii="仿宋_GB2312" w:hAnsi="仿宋_GB2312" w:eastAsia="仿宋_GB2312" w:cs="仿宋_GB2312"/>
                          <w:b/>
                          <w:sz w:val="28"/>
                          <w:lang w:eastAsia="zh-CN"/>
                        </w:rPr>
                      </w:pPr>
                      <w:r>
                        <w:rPr>
                          <w:rFonts w:hint="eastAsia" w:ascii="仿宋_GB2312" w:hAnsi="仿宋_GB2312" w:eastAsia="仿宋_GB2312" w:cs="仿宋_GB2312"/>
                          <w:b/>
                          <w:spacing w:val="-2"/>
                          <w:sz w:val="28"/>
                          <w:lang w:eastAsia="zh-CN"/>
                        </w:rPr>
                        <w:t>居民身份证正面复印件粘贴处</w:t>
                      </w:r>
                    </w:p>
                    <w:p w14:paraId="00525E81">
                      <w:pPr>
                        <w:keepNext w:val="0"/>
                        <w:keepLines w:val="0"/>
                        <w:pageBreakBefore w:val="0"/>
                        <w:widowControl/>
                        <w:kinsoku/>
                        <w:wordWrap/>
                        <w:overflowPunct/>
                        <w:topLinePunct w:val="0"/>
                        <w:autoSpaceDE/>
                        <w:autoSpaceDN/>
                        <w:bidi w:val="0"/>
                        <w:adjustRightInd/>
                        <w:snapToGrid/>
                        <w:spacing w:before="89" w:after="0" w:line="600" w:lineRule="exact"/>
                        <w:jc w:val="center"/>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pacing w:val="-3"/>
                          <w:sz w:val="28"/>
                        </w:rPr>
                        <w:t>加盖单位公章</w:t>
                      </w:r>
                      <w:r>
                        <w:rPr>
                          <w:rFonts w:hint="eastAsia" w:ascii="仿宋_GB2312" w:hAnsi="仿宋_GB2312" w:eastAsia="仿宋_GB2312" w:cs="仿宋_GB2312"/>
                          <w:sz w:val="28"/>
                        </w:rPr>
                        <w:t>）</w:t>
                      </w:r>
                    </w:p>
                  </w:txbxContent>
                </v:textbox>
                <w10:wrap type="topAndBottom"/>
              </v:shape>
            </w:pict>
          </mc:Fallback>
        </mc:AlternateContent>
      </w:r>
      <w:bookmarkStart w:id="208" w:name="附件2"/>
      <w:bookmarkEnd w:id="208"/>
      <w:r>
        <w:rPr>
          <w:rFonts w:hint="eastAsia" w:ascii="黑体" w:eastAsia="黑体"/>
          <w:highlight w:val="none"/>
        </w:rPr>
        <w:br w:type="page"/>
      </w:r>
    </w:p>
    <w:p w14:paraId="05EF41BA">
      <w:pPr>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rightChars="0"/>
        <w:jc w:val="both"/>
        <w:textAlignment w:val="baseline"/>
        <w:rPr>
          <w:rFonts w:hint="eastAsia" w:ascii="黑体" w:hAnsi="黑体" w:eastAsia="黑体" w:cs="黑体"/>
          <w:snapToGrid w:val="0"/>
          <w:color w:val="auto"/>
          <w:kern w:val="0"/>
          <w:sz w:val="32"/>
          <w:szCs w:val="32"/>
          <w:highlight w:val="none"/>
          <w:lang w:val="en-US" w:eastAsia="zh-CN"/>
        </w:rPr>
      </w:pPr>
      <w:bookmarkStart w:id="209" w:name="福建省第五批医用耗材集中带量采购申报函"/>
      <w:bookmarkEnd w:id="209"/>
      <w:bookmarkStart w:id="210" w:name="_Toc379500580"/>
      <w:bookmarkStart w:id="211" w:name="_Toc1310007708"/>
      <w:bookmarkStart w:id="212" w:name="_Toc1064606618"/>
      <w:r>
        <w:rPr>
          <w:rFonts w:hint="eastAsia" w:ascii="黑体" w:hAnsi="黑体" w:eastAsia="黑体" w:cs="黑体"/>
          <w:snapToGrid w:val="0"/>
          <w:color w:val="auto"/>
          <w:kern w:val="0"/>
          <w:sz w:val="32"/>
          <w:szCs w:val="32"/>
          <w:highlight w:val="none"/>
          <w:lang w:val="en-US" w:eastAsia="zh-CN"/>
        </w:rPr>
        <w:t>附件3</w:t>
      </w:r>
      <w:bookmarkEnd w:id="210"/>
      <w:bookmarkEnd w:id="211"/>
      <w:bookmarkEnd w:id="212"/>
    </w:p>
    <w:p w14:paraId="07875142">
      <w:pPr>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rightChars="0"/>
        <w:jc w:val="both"/>
        <w:textAlignment w:val="baseline"/>
        <w:rPr>
          <w:rFonts w:hint="eastAsia" w:ascii="Times New Roman" w:hAnsi="Arial" w:eastAsia="仿宋_GB2312" w:cs="Arial"/>
          <w:snapToGrid w:val="0"/>
          <w:color w:val="auto"/>
          <w:kern w:val="0"/>
          <w:sz w:val="32"/>
          <w:szCs w:val="32"/>
          <w:highlight w:val="none"/>
          <w:lang w:val="en-US" w:eastAsia="zh-CN"/>
        </w:rPr>
      </w:pPr>
    </w:p>
    <w:p w14:paraId="5A6EFDF4">
      <w:pPr>
        <w:pStyle w:val="8"/>
        <w:keepNext w:val="0"/>
        <w:keepLines w:val="0"/>
        <w:pageBreakBefore w:val="0"/>
        <w:kinsoku/>
        <w:wordWrap/>
        <w:overflowPunct/>
        <w:topLinePunct w:val="0"/>
        <w:bidi w:val="0"/>
        <w:spacing w:before="0" w:line="560" w:lineRule="exact"/>
        <w:ind w:left="0" w:right="0" w:rightChars="0"/>
        <w:jc w:val="center"/>
        <w:rPr>
          <w:rFonts w:hint="eastAsia" w:ascii="方正小标宋简体" w:hAnsi="方正小标宋简体" w:eastAsia="方正小标宋简体" w:cs="方正小标宋简体"/>
          <w:b w:val="0"/>
          <w:bCs w:val="0"/>
          <w:sz w:val="32"/>
          <w:szCs w:val="32"/>
          <w:highlight w:val="none"/>
        </w:rPr>
      </w:pPr>
      <w:r>
        <w:rPr>
          <w:rFonts w:hint="eastAsia" w:ascii="方正小标宋简体" w:hAnsi="方正小标宋简体" w:eastAsia="方正小标宋简体" w:cs="方正小标宋简体"/>
          <w:b w:val="0"/>
          <w:bCs w:val="0"/>
          <w:sz w:val="32"/>
          <w:szCs w:val="32"/>
          <w:highlight w:val="none"/>
          <w:lang w:val="en-US" w:eastAsia="zh-CN"/>
        </w:rPr>
        <w:t>一次性使用高压造影注射器及附件、输液接头</w:t>
      </w:r>
      <w:r>
        <w:rPr>
          <w:rFonts w:hint="eastAsia" w:ascii="方正小标宋简体" w:hAnsi="方正小标宋简体" w:eastAsia="方正小标宋简体" w:cs="方正小标宋简体"/>
          <w:b w:val="0"/>
          <w:bCs w:val="0"/>
          <w:highlight w:val="none"/>
          <w:lang w:val="en-US" w:eastAsia="zh-CN"/>
        </w:rPr>
        <w:t>全省性联盟集中带量</w:t>
      </w:r>
      <w:r>
        <w:rPr>
          <w:rFonts w:hint="eastAsia" w:ascii="方正小标宋简体" w:hAnsi="方正小标宋简体" w:eastAsia="方正小标宋简体" w:cs="方正小标宋简体"/>
          <w:b w:val="0"/>
          <w:bCs w:val="0"/>
          <w:highlight w:val="none"/>
        </w:rPr>
        <w:t>采购申报函</w:t>
      </w:r>
    </w:p>
    <w:p w14:paraId="7E34BD94">
      <w:pPr>
        <w:pStyle w:val="8"/>
        <w:keepNext w:val="0"/>
        <w:keepLines w:val="0"/>
        <w:pageBreakBefore w:val="0"/>
        <w:kinsoku/>
        <w:wordWrap/>
        <w:overflowPunct/>
        <w:topLinePunct w:val="0"/>
        <w:bidi w:val="0"/>
        <w:spacing w:before="0" w:line="560" w:lineRule="exact"/>
        <w:ind w:left="0" w:right="0" w:rightChars="0"/>
        <w:jc w:val="center"/>
        <w:rPr>
          <w:rFonts w:hint="eastAsia" w:ascii="黑体" w:hAnsi="黑体" w:eastAsia="黑体" w:cs="黑体"/>
          <w:b w:val="0"/>
          <w:bCs w:val="0"/>
          <w:sz w:val="32"/>
          <w:szCs w:val="32"/>
          <w:highlight w:val="none"/>
        </w:rPr>
      </w:pPr>
    </w:p>
    <w:p w14:paraId="24C59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rightChars="0"/>
        <w:jc w:val="both"/>
        <w:textAlignment w:val="auto"/>
        <w:rPr>
          <w:rFonts w:hint="eastAsia" w:ascii="仿宋_GB2312" w:hAnsi="仿宋_GB2312" w:eastAsia="仿宋_GB2312" w:cs="仿宋_GB2312"/>
          <w:b w:val="0"/>
          <w:bCs w:val="0"/>
          <w:i w:val="0"/>
          <w:caps w:val="0"/>
          <w:color w:val="333333"/>
          <w:spacing w:val="-11"/>
          <w:kern w:val="0"/>
          <w:sz w:val="32"/>
          <w:szCs w:val="32"/>
          <w:highlight w:val="none"/>
          <w:shd w:val="clear" w:color="auto" w:fill="FFFFFF"/>
          <w:lang w:val="en-US" w:eastAsia="zh-CN" w:bidi="ar"/>
        </w:rPr>
      </w:pPr>
      <w:r>
        <w:rPr>
          <w:rFonts w:hint="eastAsia" w:ascii="仿宋_GB2312" w:hAnsi="仿宋_GB2312" w:eastAsia="仿宋_GB2312" w:cs="仿宋_GB2312"/>
          <w:spacing w:val="-11"/>
          <w:sz w:val="32"/>
          <w:szCs w:val="32"/>
          <w:highlight w:val="none"/>
          <w:lang w:val="en-US" w:eastAsia="zh-CN" w:bidi="ar-SA"/>
        </w:rPr>
        <w:t>一次性使用高压造影注射器及附件、输液接头全省性联盟集采领导小组办公室</w:t>
      </w:r>
      <w:r>
        <w:rPr>
          <w:rFonts w:hint="eastAsia" w:ascii="仿宋_GB2312" w:hAnsi="仿宋_GB2312" w:eastAsia="仿宋_GB2312" w:cs="仿宋_GB2312"/>
          <w:b w:val="0"/>
          <w:bCs w:val="0"/>
          <w:i w:val="0"/>
          <w:caps w:val="0"/>
          <w:color w:val="333333"/>
          <w:spacing w:val="-11"/>
          <w:kern w:val="0"/>
          <w:sz w:val="32"/>
          <w:szCs w:val="32"/>
          <w:highlight w:val="none"/>
          <w:shd w:val="clear" w:color="auto" w:fill="FFFFFF"/>
          <w:lang w:val="en-US" w:eastAsia="zh-CN" w:bidi="ar"/>
        </w:rPr>
        <w:t>：</w:t>
      </w:r>
    </w:p>
    <w:p w14:paraId="4DC43D14">
      <w:pPr>
        <w:pStyle w:val="8"/>
        <w:keepNext w:val="0"/>
        <w:keepLines w:val="0"/>
        <w:pageBreakBefore w:val="0"/>
        <w:kinsoku/>
        <w:wordWrap/>
        <w:overflowPunct/>
        <w:topLinePunct w:val="0"/>
        <w:bidi w:val="0"/>
        <w:adjustRightInd/>
        <w:snapToGrid/>
        <w:spacing w:before="0" w:line="560" w:lineRule="exact"/>
        <w:ind w:left="0" w:right="0" w:rightChars="0" w:firstLine="640"/>
        <w:textAlignment w:val="auto"/>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在审阅所有集中带量采购文件后，我方决定按照采购文件的规定参与</w:t>
      </w:r>
      <w:r>
        <w:rPr>
          <w:rFonts w:hint="eastAsia" w:ascii="仿宋_GB2312" w:hAnsi="仿宋_GB2312" w:eastAsia="仿宋_GB2312" w:cs="仿宋_GB2312"/>
          <w:spacing w:val="-5"/>
          <w:highlight w:val="none"/>
          <w:lang w:eastAsia="zh-CN"/>
        </w:rPr>
        <w:t>一次性使用高压造影注射器及附件、输液接头</w:t>
      </w:r>
      <w:r>
        <w:rPr>
          <w:rFonts w:hint="eastAsia" w:ascii="仿宋_GB2312" w:hAnsi="仿宋_GB2312" w:eastAsia="仿宋_GB2312" w:cs="仿宋_GB2312"/>
          <w:spacing w:val="-5"/>
          <w:highlight w:val="none"/>
        </w:rPr>
        <w:t>全省性联盟集中带量采购工作。我方保证申报价格及所提供全部证明材料的真实性、合法性、有效性。我方完全理解并遵守采购文件中的中选产品确认准则。</w:t>
      </w:r>
    </w:p>
    <w:p w14:paraId="5CEC06D1">
      <w:pPr>
        <w:pStyle w:val="8"/>
        <w:keepNext w:val="0"/>
        <w:keepLines w:val="0"/>
        <w:pageBreakBefore w:val="0"/>
        <w:kinsoku/>
        <w:wordWrap/>
        <w:overflowPunct/>
        <w:topLinePunct w:val="0"/>
        <w:bidi w:val="0"/>
        <w:adjustRightInd/>
        <w:snapToGrid/>
        <w:spacing w:before="0" w:line="560" w:lineRule="exact"/>
        <w:ind w:left="0" w:right="0" w:rightChars="0" w:firstLine="640"/>
        <w:textAlignment w:val="auto"/>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我方已充分考虑到原材料价格等因素，并以此申报价格。如果我方医用耗材中选，我方将按照采购方的要求供应中选医用耗材，确保中选医用耗材的价格、质量和数量等一切要素按照购销合同履行。</w:t>
      </w:r>
    </w:p>
    <w:p w14:paraId="48C8820A">
      <w:pPr>
        <w:pStyle w:val="8"/>
        <w:keepNext w:val="0"/>
        <w:keepLines w:val="0"/>
        <w:pageBreakBefore w:val="0"/>
        <w:kinsoku/>
        <w:wordWrap/>
        <w:overflowPunct/>
        <w:topLinePunct w:val="0"/>
        <w:bidi w:val="0"/>
        <w:adjustRightInd/>
        <w:snapToGrid/>
        <w:spacing w:before="0" w:line="560" w:lineRule="exact"/>
        <w:ind w:left="0" w:right="0" w:rightChars="0" w:firstLine="640"/>
        <w:textAlignment w:val="auto"/>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我方承诺同采购机构没有利益关系，不会为达成此项目同采购方进行任何不正当联系，不会在申报过程中有任何违法违规行为。</w:t>
      </w:r>
    </w:p>
    <w:p w14:paraId="6C2E902E">
      <w:pPr>
        <w:pStyle w:val="8"/>
        <w:keepNext w:val="0"/>
        <w:keepLines w:val="0"/>
        <w:pageBreakBefore w:val="0"/>
        <w:kinsoku/>
        <w:wordWrap/>
        <w:overflowPunct/>
        <w:topLinePunct w:val="0"/>
        <w:bidi w:val="0"/>
        <w:adjustRightInd/>
        <w:snapToGrid/>
        <w:spacing w:before="0" w:line="560" w:lineRule="exact"/>
        <w:ind w:left="0" w:right="0" w:rightChars="0" w:firstLine="640"/>
        <w:textAlignment w:val="auto"/>
        <w:rPr>
          <w:rFonts w:hint="eastAsia" w:ascii="仿宋_GB2312" w:hAnsi="仿宋_GB2312" w:eastAsia="仿宋_GB2312" w:cs="仿宋_GB2312"/>
          <w:spacing w:val="-5"/>
          <w:highlight w:val="none"/>
        </w:rPr>
      </w:pPr>
    </w:p>
    <w:p w14:paraId="6FEC382E">
      <w:pPr>
        <w:pStyle w:val="8"/>
        <w:keepNext w:val="0"/>
        <w:keepLines w:val="0"/>
        <w:pageBreakBefore w:val="0"/>
        <w:kinsoku/>
        <w:wordWrap/>
        <w:overflowPunct/>
        <w:topLinePunct w:val="0"/>
        <w:bidi w:val="0"/>
        <w:spacing w:before="0" w:line="560" w:lineRule="exact"/>
        <w:ind w:left="0" w:right="0" w:rightChars="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                            申报企业（盖章）：</w:t>
      </w:r>
    </w:p>
    <w:p w14:paraId="6454F201">
      <w:pPr>
        <w:pStyle w:val="8"/>
        <w:keepNext w:val="0"/>
        <w:keepLines w:val="0"/>
        <w:pageBreakBefore w:val="0"/>
        <w:kinsoku/>
        <w:wordWrap/>
        <w:overflowPunct/>
        <w:topLinePunct w:val="0"/>
        <w:bidi w:val="0"/>
        <w:spacing w:before="0" w:line="560" w:lineRule="exact"/>
        <w:ind w:left="0" w:right="0" w:rightChars="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                         </w:t>
      </w:r>
      <w:r>
        <w:rPr>
          <w:rFonts w:hint="default" w:ascii="仿宋_GB2312" w:hAnsi="仿宋_GB2312" w:eastAsia="仿宋_GB2312" w:cs="仿宋_GB2312"/>
          <w:highlight w:val="none"/>
          <w:lang w:val="en-US"/>
        </w:rPr>
        <w:t xml:space="preserve">   </w:t>
      </w:r>
      <w:r>
        <w:rPr>
          <w:rFonts w:hint="eastAsia" w:ascii="仿宋_GB2312" w:hAnsi="仿宋_GB2312" w:eastAsia="仿宋_GB2312" w:cs="仿宋_GB2312"/>
          <w:highlight w:val="none"/>
        </w:rPr>
        <w:t>日期：</w:t>
      </w:r>
    </w:p>
    <w:p w14:paraId="1B92B92F">
      <w:pPr>
        <w:spacing w:before="0"/>
        <w:ind w:left="0" w:right="0" w:firstLine="0"/>
        <w:jc w:val="left"/>
        <w:rPr>
          <w:rFonts w:hint="eastAsia" w:ascii="黑体" w:eastAsia="黑体"/>
          <w:sz w:val="30"/>
          <w:highlight w:val="none"/>
        </w:rPr>
      </w:pPr>
      <w:bookmarkStart w:id="213" w:name="附件3"/>
      <w:bookmarkEnd w:id="213"/>
      <w:r>
        <w:rPr>
          <w:rFonts w:hint="eastAsia" w:ascii="黑体" w:eastAsia="黑体"/>
          <w:sz w:val="30"/>
          <w:highlight w:val="none"/>
        </w:rPr>
        <w:br w:type="page"/>
      </w:r>
    </w:p>
    <w:p w14:paraId="13A7F701">
      <w:pPr>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jc w:val="both"/>
        <w:textAlignment w:val="baseline"/>
        <w:outlineLvl w:val="9"/>
        <w:rPr>
          <w:rFonts w:hint="eastAsia" w:ascii="黑体" w:hAnsi="黑体" w:eastAsia="黑体" w:cs="黑体"/>
          <w:snapToGrid w:val="0"/>
          <w:color w:val="auto"/>
          <w:kern w:val="0"/>
          <w:sz w:val="32"/>
          <w:szCs w:val="32"/>
          <w:highlight w:val="none"/>
          <w:lang w:val="en-US" w:eastAsia="zh-CN"/>
        </w:rPr>
      </w:pPr>
      <w:bookmarkStart w:id="214" w:name="_Toc954574065"/>
      <w:bookmarkStart w:id="215" w:name="_Toc1746680703"/>
      <w:bookmarkStart w:id="216" w:name="_Toc1957755763"/>
      <w:r>
        <w:rPr>
          <w:rFonts w:hint="eastAsia" w:ascii="黑体" w:hAnsi="黑体" w:eastAsia="黑体" w:cs="黑体"/>
          <w:snapToGrid w:val="0"/>
          <w:color w:val="auto"/>
          <w:kern w:val="0"/>
          <w:sz w:val="32"/>
          <w:szCs w:val="32"/>
          <w:highlight w:val="none"/>
          <w:lang w:val="en-US" w:eastAsia="zh-CN"/>
        </w:rPr>
        <w:t>附件4</w:t>
      </w:r>
      <w:bookmarkEnd w:id="214"/>
      <w:bookmarkEnd w:id="215"/>
      <w:bookmarkEnd w:id="216"/>
    </w:p>
    <w:p w14:paraId="51BA7E1B">
      <w:pPr>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jc w:val="both"/>
        <w:textAlignment w:val="baseline"/>
        <w:outlineLvl w:val="9"/>
        <w:rPr>
          <w:rFonts w:hint="eastAsia" w:ascii="Times New Roman" w:hAnsi="Arial" w:eastAsia="仿宋_GB2312" w:cs="Arial"/>
          <w:snapToGrid w:val="0"/>
          <w:color w:val="auto"/>
          <w:kern w:val="0"/>
          <w:sz w:val="32"/>
          <w:szCs w:val="32"/>
          <w:highlight w:val="none"/>
          <w:lang w:val="en-US" w:eastAsia="zh-CN"/>
        </w:rPr>
      </w:pPr>
    </w:p>
    <w:p w14:paraId="66DAD06A">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kern w:val="0"/>
          <w:sz w:val="32"/>
          <w:szCs w:val="32"/>
          <w:highlight w:val="none"/>
          <w:lang w:val="en-US" w:eastAsia="zh-CN" w:bidi="ar"/>
        </w:rPr>
      </w:pPr>
      <w:bookmarkStart w:id="217" w:name="医用耗材省级集中带量采购申报企业承诺函"/>
      <w:bookmarkEnd w:id="217"/>
      <w:bookmarkStart w:id="218" w:name="_Toc2138333503"/>
      <w:bookmarkStart w:id="219" w:name="_Toc782420697"/>
      <w:r>
        <w:rPr>
          <w:rFonts w:hint="eastAsia" w:ascii="方正小标宋简体" w:hAnsi="方正小标宋简体" w:eastAsia="方正小标宋简体" w:cs="方正小标宋简体"/>
          <w:b w:val="0"/>
          <w:bCs w:val="0"/>
          <w:sz w:val="32"/>
          <w:szCs w:val="32"/>
          <w:highlight w:val="none"/>
          <w:lang w:val="en-US" w:eastAsia="zh-CN"/>
        </w:rPr>
        <w:t>一次性使用高压造影注射器及附件、输液接头</w:t>
      </w:r>
      <w:r>
        <w:rPr>
          <w:rFonts w:hint="eastAsia" w:ascii="方正小标宋简体" w:hAnsi="方正小标宋简体" w:eastAsia="方正小标宋简体" w:cs="方正小标宋简体"/>
          <w:color w:val="000000"/>
          <w:kern w:val="0"/>
          <w:sz w:val="32"/>
          <w:szCs w:val="32"/>
          <w:highlight w:val="none"/>
          <w:lang w:val="en-US" w:eastAsia="zh-CN" w:bidi="ar"/>
        </w:rPr>
        <w:t>全省性联盟集中带量采购申报企业承诺函</w:t>
      </w:r>
    </w:p>
    <w:p w14:paraId="43A499A3">
      <w:pPr>
        <w:pStyle w:val="8"/>
        <w:keepNext w:val="0"/>
        <w:keepLines w:val="0"/>
        <w:pageBreakBefore w:val="0"/>
        <w:kinsoku/>
        <w:wordWrap/>
        <w:overflowPunct/>
        <w:topLinePunct w:val="0"/>
        <w:bidi w:val="0"/>
        <w:adjustRightInd w:val="0"/>
        <w:snapToGrid/>
        <w:spacing w:before="0" w:after="0" w:line="520" w:lineRule="exact"/>
        <w:ind w:left="0" w:leftChars="0" w:right="0" w:rightChars="0"/>
        <w:jc w:val="center"/>
        <w:textAlignment w:val="auto"/>
        <w:outlineLvl w:val="9"/>
        <w:rPr>
          <w:rFonts w:hint="eastAsia" w:ascii="黑体" w:hAnsi="黑体" w:eastAsia="黑体" w:cs="黑体"/>
          <w:sz w:val="32"/>
          <w:highlight w:val="none"/>
        </w:rPr>
      </w:pPr>
    </w:p>
    <w:bookmarkEnd w:id="218"/>
    <w:bookmarkEnd w:id="219"/>
    <w:p w14:paraId="76A62D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both"/>
        <w:textAlignment w:val="auto"/>
        <w:outlineLvl w:val="9"/>
        <w:rPr>
          <w:rFonts w:hint="eastAsia" w:ascii="仿宋_GB2312" w:hAnsi="仿宋_GB2312" w:eastAsia="仿宋_GB2312" w:cs="仿宋_GB2312"/>
          <w:b w:val="0"/>
          <w:bCs w:val="0"/>
          <w:i w:val="0"/>
          <w:caps w:val="0"/>
          <w:color w:val="333333"/>
          <w:spacing w:val="-11"/>
          <w:kern w:val="0"/>
          <w:sz w:val="32"/>
          <w:szCs w:val="32"/>
          <w:highlight w:val="none"/>
          <w:shd w:val="clear" w:color="auto" w:fill="FFFFFF"/>
          <w:lang w:val="en-US" w:eastAsia="zh-CN" w:bidi="ar"/>
        </w:rPr>
      </w:pPr>
      <w:r>
        <w:rPr>
          <w:rFonts w:hint="eastAsia" w:ascii="仿宋_GB2312" w:hAnsi="仿宋_GB2312" w:eastAsia="仿宋_GB2312" w:cs="仿宋_GB2312"/>
          <w:spacing w:val="-11"/>
          <w:sz w:val="32"/>
          <w:szCs w:val="32"/>
          <w:highlight w:val="none"/>
          <w:lang w:val="en-US" w:eastAsia="zh-CN" w:bidi="ar-SA"/>
        </w:rPr>
        <w:t>一次性使用高压造影注射器及附件、输液接头全省性联盟集采领导小组办公室</w:t>
      </w:r>
      <w:r>
        <w:rPr>
          <w:rFonts w:hint="eastAsia" w:ascii="仿宋_GB2312" w:hAnsi="仿宋_GB2312" w:eastAsia="仿宋_GB2312" w:cs="仿宋_GB2312"/>
          <w:b w:val="0"/>
          <w:bCs w:val="0"/>
          <w:i w:val="0"/>
          <w:caps w:val="0"/>
          <w:color w:val="333333"/>
          <w:spacing w:val="-11"/>
          <w:kern w:val="0"/>
          <w:sz w:val="32"/>
          <w:szCs w:val="32"/>
          <w:highlight w:val="none"/>
          <w:shd w:val="clear" w:color="auto" w:fill="FFFFFF"/>
          <w:lang w:val="en-US" w:eastAsia="zh-CN" w:bidi="ar"/>
        </w:rPr>
        <w:t>：</w:t>
      </w:r>
    </w:p>
    <w:p w14:paraId="2369B760">
      <w:pPr>
        <w:pStyle w:val="8"/>
        <w:keepNext w:val="0"/>
        <w:keepLines w:val="0"/>
        <w:pageBreakBefore w:val="0"/>
        <w:kinsoku/>
        <w:wordWrap/>
        <w:overflowPunct/>
        <w:topLinePunct w:val="0"/>
        <w:bidi w:val="0"/>
        <w:adjustRightInd/>
        <w:snapToGrid/>
        <w:spacing w:before="0" w:after="0" w:line="520" w:lineRule="exact"/>
        <w:ind w:left="0" w:leftChars="0" w:right="0" w:rightChars="0" w:firstLine="640"/>
        <w:textAlignment w:val="auto"/>
        <w:outlineLvl w:val="9"/>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依据《</w:t>
      </w:r>
      <w:r>
        <w:rPr>
          <w:rFonts w:hint="eastAsia" w:ascii="仿宋_GB2312" w:hAnsi="仿宋_GB2312" w:eastAsia="仿宋_GB2312" w:cs="仿宋_GB2312"/>
          <w:spacing w:val="-5"/>
          <w:highlight w:val="none"/>
          <w:lang w:val="en-US" w:eastAsia="zh-CN"/>
        </w:rPr>
        <w:t>一次性使用高压造影注射器及附件、输液接头全省性联盟</w:t>
      </w:r>
      <w:r>
        <w:rPr>
          <w:rFonts w:hint="eastAsia" w:ascii="仿宋_GB2312" w:hAnsi="仿宋_GB2312" w:eastAsia="仿宋_GB2312" w:cs="仿宋_GB2312"/>
          <w:spacing w:val="-5"/>
          <w:highlight w:val="none"/>
        </w:rPr>
        <w:t>集中带量采购文件》，我方承诺确保在采购周期内满足中选医用耗材协议采购量需求，具有履行合同必须具备的医用耗材供应能力，并对医用耗材的质量和供应负责。一旦中选，将及时、足量按要求组织生产，并向配送企业发送医用耗材，满足医疗机构临床需求。</w:t>
      </w:r>
    </w:p>
    <w:p w14:paraId="68310B32">
      <w:pPr>
        <w:pStyle w:val="8"/>
        <w:keepNext w:val="0"/>
        <w:keepLines w:val="0"/>
        <w:pageBreakBefore w:val="0"/>
        <w:kinsoku/>
        <w:wordWrap/>
        <w:overflowPunct/>
        <w:topLinePunct w:val="0"/>
        <w:bidi w:val="0"/>
        <w:adjustRightInd/>
        <w:snapToGrid/>
        <w:spacing w:before="0" w:after="0" w:line="520" w:lineRule="exact"/>
        <w:ind w:left="0" w:leftChars="0" w:right="0" w:rightChars="0" w:firstLine="640"/>
        <w:textAlignment w:val="auto"/>
        <w:outlineLvl w:val="9"/>
        <w:rPr>
          <w:rFonts w:hint="eastAsia" w:ascii="仿宋_GB2312" w:hAnsi="仿宋_GB2312" w:eastAsia="仿宋_GB2312" w:cs="仿宋_GB2312"/>
          <w:spacing w:val="-5"/>
          <w:highlight w:val="none"/>
          <w:lang w:val="en-US" w:eastAsia="zh-CN"/>
        </w:rPr>
      </w:pPr>
      <w:r>
        <w:rPr>
          <w:rFonts w:hint="eastAsia" w:ascii="仿宋_GB2312" w:hAnsi="仿宋_GB2312" w:eastAsia="仿宋_GB2312" w:cs="仿宋_GB2312"/>
          <w:spacing w:val="-5"/>
          <w:highlight w:val="none"/>
        </w:rPr>
        <w:t>我方承诺申报价不低于本企业产品成本价，</w:t>
      </w:r>
      <w:r>
        <w:rPr>
          <w:rFonts w:hint="eastAsia" w:ascii="仿宋_GB2312" w:hAnsi="仿宋_GB2312" w:eastAsia="仿宋_GB2312" w:cs="仿宋_GB2312"/>
          <w:spacing w:val="-5"/>
          <w:highlight w:val="none"/>
          <w:lang w:val="en-US" w:eastAsia="zh-CN"/>
        </w:rPr>
        <w:t>不高于本企业全国现行有效最低省级挂网价、参与一次性使用高压造影注射器及附件、输液接头全省性联盟集中带量采购各地市医疗机构填报</w:t>
      </w:r>
      <w:r>
        <w:rPr>
          <w:rFonts w:hint="eastAsia" w:ascii="仿宋_GB2312" w:hAnsi="仿宋_GB2312" w:eastAsia="仿宋_GB2312" w:cs="仿宋_GB2312"/>
          <w:spacing w:val="-5"/>
          <w:highlight w:val="none"/>
        </w:rPr>
        <w:t>的</w:t>
      </w:r>
      <w:r>
        <w:rPr>
          <w:rFonts w:hint="eastAsia" w:ascii="仿宋_GB2312" w:hAnsi="仿宋_GB2312" w:eastAsia="仿宋_GB2312" w:cs="仿宋_GB2312"/>
          <w:spacing w:val="-5"/>
          <w:highlight w:val="none"/>
          <w:lang w:val="en-US" w:eastAsia="zh-CN"/>
        </w:rPr>
        <w:t>最低采购</w:t>
      </w:r>
      <w:r>
        <w:rPr>
          <w:rFonts w:hint="eastAsia" w:ascii="仿宋_GB2312" w:hAnsi="仿宋_GB2312" w:eastAsia="仿宋_GB2312" w:cs="仿宋_GB2312"/>
          <w:spacing w:val="-5"/>
          <w:highlight w:val="none"/>
        </w:rPr>
        <w:t>价格</w:t>
      </w:r>
      <w:r>
        <w:rPr>
          <w:rFonts w:hint="eastAsia" w:ascii="仿宋_GB2312" w:hAnsi="仿宋_GB2312" w:eastAsia="仿宋_GB2312" w:cs="仿宋_GB2312"/>
          <w:spacing w:val="-5"/>
          <w:highlight w:val="none"/>
          <w:lang w:val="en-US" w:eastAsia="zh-CN"/>
        </w:rPr>
        <w:t>、地市级（含联盟）及以上集中采购（含带量采购）价格。</w:t>
      </w:r>
    </w:p>
    <w:p w14:paraId="445723AF">
      <w:pPr>
        <w:pStyle w:val="8"/>
        <w:keepNext w:val="0"/>
        <w:keepLines w:val="0"/>
        <w:pageBreakBefore w:val="0"/>
        <w:kinsoku/>
        <w:wordWrap/>
        <w:overflowPunct/>
        <w:topLinePunct w:val="0"/>
        <w:bidi w:val="0"/>
        <w:adjustRightInd/>
        <w:snapToGrid/>
        <w:spacing w:before="0" w:after="0" w:line="520" w:lineRule="exact"/>
        <w:ind w:left="0" w:leftChars="0" w:right="0" w:rightChars="0" w:firstLine="640"/>
        <w:textAlignment w:val="auto"/>
        <w:outlineLvl w:val="9"/>
        <w:rPr>
          <w:sz w:val="26"/>
          <w:highlight w:val="none"/>
        </w:rPr>
      </w:pPr>
      <w:r>
        <w:rPr>
          <w:rFonts w:hint="eastAsia" w:ascii="仿宋_GB2312" w:hAnsi="仿宋_GB2312" w:eastAsia="仿宋_GB2312" w:cs="仿宋_GB2312"/>
          <w:spacing w:val="-5"/>
          <w:highlight w:val="none"/>
        </w:rPr>
        <w:t>我方承诺符合《</w:t>
      </w:r>
      <w:r>
        <w:rPr>
          <w:rFonts w:hint="eastAsia" w:ascii="仿宋_GB2312" w:hAnsi="仿宋_GB2312" w:eastAsia="仿宋_GB2312" w:cs="仿宋_GB2312"/>
          <w:spacing w:val="-5"/>
          <w:highlight w:val="none"/>
          <w:lang w:val="en-US" w:eastAsia="zh-CN"/>
        </w:rPr>
        <w:t>一次性使用高压造影注射器及附件、输液接头全省性联盟</w:t>
      </w:r>
      <w:r>
        <w:rPr>
          <w:rFonts w:hint="eastAsia" w:ascii="仿宋_GB2312" w:hAnsi="仿宋_GB2312" w:eastAsia="仿宋_GB2312" w:cs="仿宋_GB2312"/>
          <w:spacing w:val="-5"/>
          <w:highlight w:val="none"/>
        </w:rPr>
        <w:t>集中带量采购文件》申报资格的相关要求。</w:t>
      </w:r>
    </w:p>
    <w:p w14:paraId="7EB1A61D">
      <w:pPr>
        <w:pStyle w:val="8"/>
        <w:keepNext w:val="0"/>
        <w:keepLines w:val="0"/>
        <w:pageBreakBefore w:val="0"/>
        <w:kinsoku/>
        <w:wordWrap/>
        <w:overflowPunct/>
        <w:topLinePunct w:val="0"/>
        <w:bidi w:val="0"/>
        <w:snapToGrid/>
        <w:spacing w:before="0" w:after="0" w:line="520" w:lineRule="exact"/>
        <w:ind w:left="0" w:leftChars="0" w:right="0" w:rightChars="0"/>
        <w:jc w:val="both"/>
        <w:textAlignment w:val="auto"/>
        <w:outlineLvl w:val="9"/>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rPr>
        <w:t xml:space="preserve"> </w:t>
      </w:r>
      <w:r>
        <w:rPr>
          <w:rFonts w:hint="default" w:ascii="仿宋_GB2312" w:hAnsi="仿宋_GB2312" w:eastAsia="仿宋_GB2312" w:cs="仿宋_GB2312"/>
          <w:highlight w:val="none"/>
          <w:lang w:val="en-US"/>
        </w:rPr>
        <w:t xml:space="preserve">                           </w:t>
      </w:r>
    </w:p>
    <w:p w14:paraId="623A1D05">
      <w:pPr>
        <w:pStyle w:val="8"/>
        <w:keepNext w:val="0"/>
        <w:keepLines w:val="0"/>
        <w:pageBreakBefore w:val="0"/>
        <w:kinsoku/>
        <w:wordWrap/>
        <w:overflowPunct/>
        <w:topLinePunct w:val="0"/>
        <w:bidi w:val="0"/>
        <w:snapToGrid/>
        <w:spacing w:before="0" w:after="0" w:line="520" w:lineRule="exact"/>
        <w:ind w:left="0" w:leftChars="0" w:right="0" w:rightChars="0"/>
        <w:jc w:val="both"/>
        <w:textAlignment w:val="auto"/>
        <w:outlineLvl w:val="9"/>
        <w:rPr>
          <w:rFonts w:hint="default" w:ascii="仿宋_GB2312" w:hAnsi="仿宋_GB2312" w:eastAsia="仿宋_GB2312" w:cs="仿宋_GB2312"/>
          <w:highlight w:val="none"/>
          <w:lang w:val="en-US"/>
        </w:rPr>
      </w:pPr>
    </w:p>
    <w:p w14:paraId="28C05D10">
      <w:pPr>
        <w:pStyle w:val="8"/>
        <w:keepNext w:val="0"/>
        <w:keepLines w:val="0"/>
        <w:pageBreakBefore w:val="0"/>
        <w:kinsoku/>
        <w:wordWrap/>
        <w:overflowPunct/>
        <w:topLinePunct w:val="0"/>
        <w:bidi w:val="0"/>
        <w:snapToGrid/>
        <w:spacing w:before="0" w:after="0" w:line="520" w:lineRule="exact"/>
        <w:ind w:left="0" w:leftChars="0" w:right="0" w:rightChars="0" w:firstLine="4480" w:firstLineChars="1400"/>
        <w:jc w:val="both"/>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申报企业（盖章）：</w:t>
      </w:r>
    </w:p>
    <w:p w14:paraId="1C2CC1FC">
      <w:pPr>
        <w:pStyle w:val="8"/>
        <w:keepNext w:val="0"/>
        <w:keepLines w:val="0"/>
        <w:pageBreakBefore w:val="0"/>
        <w:kinsoku/>
        <w:wordWrap/>
        <w:overflowPunct/>
        <w:topLinePunct w:val="0"/>
        <w:bidi w:val="0"/>
        <w:snapToGrid/>
        <w:spacing w:before="0" w:after="0" w:line="520" w:lineRule="exact"/>
        <w:ind w:left="0" w:leftChars="0" w:right="0" w:rightChars="0"/>
        <w:jc w:val="both"/>
        <w:textAlignment w:val="auto"/>
        <w:outlineLvl w:val="9"/>
        <w:rPr>
          <w:rFonts w:hint="eastAsia" w:ascii="黑体" w:eastAsia="黑体"/>
          <w:sz w:val="30"/>
          <w:highlight w:val="none"/>
          <w:lang w:val="en-US" w:eastAsia="zh-CN"/>
        </w:rPr>
      </w:pPr>
      <w:r>
        <w:rPr>
          <w:rFonts w:hint="eastAsia" w:ascii="仿宋_GB2312" w:hAnsi="仿宋_GB2312" w:eastAsia="仿宋_GB2312" w:cs="仿宋_GB2312"/>
          <w:highlight w:val="none"/>
        </w:rPr>
        <w:t xml:space="preserve">                         </w:t>
      </w:r>
      <w:r>
        <w:rPr>
          <w:rFonts w:hint="default" w:ascii="仿宋_GB2312" w:hAnsi="仿宋_GB2312" w:eastAsia="仿宋_GB2312" w:cs="仿宋_GB2312"/>
          <w:highlight w:val="none"/>
          <w:lang w:val="en-US"/>
        </w:rPr>
        <w:t xml:space="preserve">   </w:t>
      </w:r>
      <w:r>
        <w:rPr>
          <w:rFonts w:hint="eastAsia" w:ascii="仿宋_GB2312" w:hAnsi="仿宋_GB2312" w:eastAsia="仿宋_GB2312" w:cs="仿宋_GB2312"/>
          <w:highlight w:val="none"/>
        </w:rPr>
        <w:t>日期：</w:t>
      </w:r>
    </w:p>
    <w:sectPr>
      <w:footerReference r:id="rId8" w:type="default"/>
      <w:pgSz w:w="11910" w:h="16840"/>
      <w:pgMar w:top="2098" w:right="1474" w:bottom="1984" w:left="1587" w:header="1145" w:footer="1276"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00"/>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FangSong_GB2312">
    <w:altName w:val="仿宋"/>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PingFang SC">
    <w:altName w:val="宋体"/>
    <w:panose1 w:val="020B0400000000000000"/>
    <w:charset w:val="86"/>
    <w:family w:val="auto"/>
    <w:pitch w:val="default"/>
    <w:sig w:usb0="00000000" w:usb1="00000000" w:usb2="00000017"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75B0E">
    <w:pPr>
      <w:pStyle w:val="10"/>
      <w:tabs>
        <w:tab w:val="left" w:pos="916"/>
        <w:tab w:val="clear" w:pos="4153"/>
      </w:tabs>
      <w:rPr>
        <w:rFonts w:hint="eastAsia" w:eastAsia="仿宋"/>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DA08E">
                          <w:pPr>
                            <w:snapToGrid w:val="0"/>
                            <w:rPr>
                              <w:rFonts w:hint="eastAsia" w:eastAsia="仿宋"/>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26DA08E">
                    <w:pPr>
                      <w:snapToGrid w:val="0"/>
                      <w:rPr>
                        <w:rFonts w:hint="eastAsia" w:eastAsia="仿宋"/>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6601">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F6D43">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2BF6D43">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5345E">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05F83">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7C05F83">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6B9CF">
    <w:pPr>
      <w:spacing w:before="10" w:line="197" w:lineRule="auto"/>
      <w:ind w:left="17"/>
      <w:rPr>
        <w:rFonts w:ascii="PingFang SC" w:hAnsi="PingFang SC" w:eastAsia="PingFang SC" w:cs="PingFang S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69EE8"/>
    <w:multiLevelType w:val="singleLevel"/>
    <w:tmpl w:val="BA269EE8"/>
    <w:lvl w:ilvl="0" w:tentative="0">
      <w:start w:val="2"/>
      <w:numFmt w:val="chineseCounting"/>
      <w:suff w:val="space"/>
      <w:lvlText w:val="第%1部分"/>
      <w:lvlJc w:val="left"/>
      <w:rPr>
        <w:rFonts w:hint="eastAsia"/>
      </w:rPr>
    </w:lvl>
  </w:abstractNum>
  <w:abstractNum w:abstractNumId="1">
    <w:nsid w:val="FFFAF7C8"/>
    <w:multiLevelType w:val="singleLevel"/>
    <w:tmpl w:val="FFFAF7C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35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Yzg2YmMwMjI5M2ZlODk2ZWRiNTBhMGRhZmE0NWQifQ=="/>
  </w:docVars>
  <w:rsids>
    <w:rsidRoot w:val="00172A27"/>
    <w:rsid w:val="0021763F"/>
    <w:rsid w:val="004803C7"/>
    <w:rsid w:val="00483F46"/>
    <w:rsid w:val="005832C0"/>
    <w:rsid w:val="00960DAA"/>
    <w:rsid w:val="025349D4"/>
    <w:rsid w:val="02DA4630"/>
    <w:rsid w:val="03CE5E40"/>
    <w:rsid w:val="03EA5EB5"/>
    <w:rsid w:val="041765F6"/>
    <w:rsid w:val="043C7BFA"/>
    <w:rsid w:val="04594188"/>
    <w:rsid w:val="04733474"/>
    <w:rsid w:val="055C2923"/>
    <w:rsid w:val="05F4DA7C"/>
    <w:rsid w:val="077B5721"/>
    <w:rsid w:val="07BE4F06"/>
    <w:rsid w:val="07D44582"/>
    <w:rsid w:val="07D780DA"/>
    <w:rsid w:val="07E64349"/>
    <w:rsid w:val="07F73309"/>
    <w:rsid w:val="08415F5A"/>
    <w:rsid w:val="08BA4358"/>
    <w:rsid w:val="094608BB"/>
    <w:rsid w:val="094660AA"/>
    <w:rsid w:val="097A600B"/>
    <w:rsid w:val="09EA1793"/>
    <w:rsid w:val="09FB3458"/>
    <w:rsid w:val="0A4F19B2"/>
    <w:rsid w:val="0AFE3438"/>
    <w:rsid w:val="0B3163FD"/>
    <w:rsid w:val="0B6E6353"/>
    <w:rsid w:val="0BBB5F37"/>
    <w:rsid w:val="0BE17F66"/>
    <w:rsid w:val="0BF02706"/>
    <w:rsid w:val="0C1A2976"/>
    <w:rsid w:val="0C5A2645"/>
    <w:rsid w:val="0D4C0597"/>
    <w:rsid w:val="0DA15453"/>
    <w:rsid w:val="0DA9547F"/>
    <w:rsid w:val="0DCD3D24"/>
    <w:rsid w:val="0DE64F74"/>
    <w:rsid w:val="0F4D4E94"/>
    <w:rsid w:val="0FFFAE15"/>
    <w:rsid w:val="10A07D58"/>
    <w:rsid w:val="111C3947"/>
    <w:rsid w:val="11320D1D"/>
    <w:rsid w:val="114C5666"/>
    <w:rsid w:val="11DF4B9E"/>
    <w:rsid w:val="11E92DA4"/>
    <w:rsid w:val="12804444"/>
    <w:rsid w:val="12883B5F"/>
    <w:rsid w:val="143B4BFF"/>
    <w:rsid w:val="14C2473C"/>
    <w:rsid w:val="14C8078D"/>
    <w:rsid w:val="15594281"/>
    <w:rsid w:val="15D750CF"/>
    <w:rsid w:val="15EF0654"/>
    <w:rsid w:val="16757374"/>
    <w:rsid w:val="167B7057"/>
    <w:rsid w:val="167E3C54"/>
    <w:rsid w:val="16C32FBA"/>
    <w:rsid w:val="16CC5A6A"/>
    <w:rsid w:val="17855AC3"/>
    <w:rsid w:val="179C1565"/>
    <w:rsid w:val="17CE1FF2"/>
    <w:rsid w:val="17FE00E2"/>
    <w:rsid w:val="18005E60"/>
    <w:rsid w:val="181001B1"/>
    <w:rsid w:val="1810690F"/>
    <w:rsid w:val="1886047D"/>
    <w:rsid w:val="18AB766B"/>
    <w:rsid w:val="18AC3AA3"/>
    <w:rsid w:val="18BE567E"/>
    <w:rsid w:val="18E01421"/>
    <w:rsid w:val="19266C2E"/>
    <w:rsid w:val="19A1294D"/>
    <w:rsid w:val="1A8153A1"/>
    <w:rsid w:val="1AB42C98"/>
    <w:rsid w:val="1AB73CA7"/>
    <w:rsid w:val="1AFC6CAF"/>
    <w:rsid w:val="1B18114F"/>
    <w:rsid w:val="1B40569F"/>
    <w:rsid w:val="1B7A674F"/>
    <w:rsid w:val="1B8074FC"/>
    <w:rsid w:val="1BCF0040"/>
    <w:rsid w:val="1BFC55C6"/>
    <w:rsid w:val="1C6934E8"/>
    <w:rsid w:val="1C7049AF"/>
    <w:rsid w:val="1CA50F44"/>
    <w:rsid w:val="1D55694A"/>
    <w:rsid w:val="1D9C7A62"/>
    <w:rsid w:val="1DFC5623"/>
    <w:rsid w:val="1E205195"/>
    <w:rsid w:val="1E4F7AE7"/>
    <w:rsid w:val="1EF79D01"/>
    <w:rsid w:val="1F130E62"/>
    <w:rsid w:val="1F1A2571"/>
    <w:rsid w:val="1F546FA0"/>
    <w:rsid w:val="1F79C4BC"/>
    <w:rsid w:val="1F91414E"/>
    <w:rsid w:val="1FD2127F"/>
    <w:rsid w:val="1FEF2B9D"/>
    <w:rsid w:val="20371AF3"/>
    <w:rsid w:val="208E1DD6"/>
    <w:rsid w:val="20B13D28"/>
    <w:rsid w:val="21701182"/>
    <w:rsid w:val="22C619F2"/>
    <w:rsid w:val="231C30DA"/>
    <w:rsid w:val="23B01473"/>
    <w:rsid w:val="24795484"/>
    <w:rsid w:val="248B5A96"/>
    <w:rsid w:val="249B03B5"/>
    <w:rsid w:val="24D75CEE"/>
    <w:rsid w:val="24DB5769"/>
    <w:rsid w:val="251E6052"/>
    <w:rsid w:val="26770915"/>
    <w:rsid w:val="26CB595F"/>
    <w:rsid w:val="26E7A3BF"/>
    <w:rsid w:val="27B67149"/>
    <w:rsid w:val="27FDB9A8"/>
    <w:rsid w:val="2800441D"/>
    <w:rsid w:val="280A7BE3"/>
    <w:rsid w:val="282B72FB"/>
    <w:rsid w:val="286345FC"/>
    <w:rsid w:val="2884710B"/>
    <w:rsid w:val="28BF5E51"/>
    <w:rsid w:val="29110ED2"/>
    <w:rsid w:val="291C10EB"/>
    <w:rsid w:val="29305858"/>
    <w:rsid w:val="29B15C8D"/>
    <w:rsid w:val="2A526C8A"/>
    <w:rsid w:val="2A7744A6"/>
    <w:rsid w:val="2AF4066A"/>
    <w:rsid w:val="2B6A0CD3"/>
    <w:rsid w:val="2B9BB047"/>
    <w:rsid w:val="2BF77AFB"/>
    <w:rsid w:val="2CD51061"/>
    <w:rsid w:val="2D0D7A89"/>
    <w:rsid w:val="2D6FB839"/>
    <w:rsid w:val="2DCC2270"/>
    <w:rsid w:val="2E374432"/>
    <w:rsid w:val="2E6F37C6"/>
    <w:rsid w:val="2EBBB8BD"/>
    <w:rsid w:val="2F3F68D0"/>
    <w:rsid w:val="2F710EFD"/>
    <w:rsid w:val="2F76D01E"/>
    <w:rsid w:val="30114E39"/>
    <w:rsid w:val="3067603D"/>
    <w:rsid w:val="308C026A"/>
    <w:rsid w:val="30B378BB"/>
    <w:rsid w:val="30E03E72"/>
    <w:rsid w:val="3116203E"/>
    <w:rsid w:val="31A85B0B"/>
    <w:rsid w:val="32AF4795"/>
    <w:rsid w:val="32C97B66"/>
    <w:rsid w:val="331104A5"/>
    <w:rsid w:val="332C529E"/>
    <w:rsid w:val="33443E6B"/>
    <w:rsid w:val="349DB9E6"/>
    <w:rsid w:val="34B376B3"/>
    <w:rsid w:val="34B70304"/>
    <w:rsid w:val="34BB608F"/>
    <w:rsid w:val="35566ADF"/>
    <w:rsid w:val="358688FB"/>
    <w:rsid w:val="360C010F"/>
    <w:rsid w:val="36283F07"/>
    <w:rsid w:val="364D395A"/>
    <w:rsid w:val="36992959"/>
    <w:rsid w:val="36E628F7"/>
    <w:rsid w:val="371D7AD5"/>
    <w:rsid w:val="372350DA"/>
    <w:rsid w:val="376965CF"/>
    <w:rsid w:val="37735062"/>
    <w:rsid w:val="37FD1F07"/>
    <w:rsid w:val="381676FD"/>
    <w:rsid w:val="38727347"/>
    <w:rsid w:val="38943123"/>
    <w:rsid w:val="39E75CF5"/>
    <w:rsid w:val="3A4220F5"/>
    <w:rsid w:val="3A493904"/>
    <w:rsid w:val="3A5C0E64"/>
    <w:rsid w:val="3A5E6008"/>
    <w:rsid w:val="3AF677E3"/>
    <w:rsid w:val="3B255741"/>
    <w:rsid w:val="3B570125"/>
    <w:rsid w:val="3B77702A"/>
    <w:rsid w:val="3BAF4289"/>
    <w:rsid w:val="3BEF1EB7"/>
    <w:rsid w:val="3BF761E4"/>
    <w:rsid w:val="3BFF42E4"/>
    <w:rsid w:val="3C03250B"/>
    <w:rsid w:val="3C252BA9"/>
    <w:rsid w:val="3C591875"/>
    <w:rsid w:val="3C8C62B5"/>
    <w:rsid w:val="3CB53E33"/>
    <w:rsid w:val="3D200C3D"/>
    <w:rsid w:val="3D9D244F"/>
    <w:rsid w:val="3DBD1D7D"/>
    <w:rsid w:val="3DDF489E"/>
    <w:rsid w:val="3DF2728A"/>
    <w:rsid w:val="3DF4D4BE"/>
    <w:rsid w:val="3DF7480E"/>
    <w:rsid w:val="3DFFE4F2"/>
    <w:rsid w:val="3E203204"/>
    <w:rsid w:val="3E3B7A3E"/>
    <w:rsid w:val="3E7F5740"/>
    <w:rsid w:val="3E7FB371"/>
    <w:rsid w:val="3E8EFBFC"/>
    <w:rsid w:val="3EBCF569"/>
    <w:rsid w:val="3ECA2FF0"/>
    <w:rsid w:val="3EED4609"/>
    <w:rsid w:val="3EFE8DDD"/>
    <w:rsid w:val="3F519911"/>
    <w:rsid w:val="3F73643E"/>
    <w:rsid w:val="3F73F0D5"/>
    <w:rsid w:val="3F792B6D"/>
    <w:rsid w:val="3FA007C7"/>
    <w:rsid w:val="3FB380C6"/>
    <w:rsid w:val="3FC986E2"/>
    <w:rsid w:val="3FCC64C9"/>
    <w:rsid w:val="3FDBBF8A"/>
    <w:rsid w:val="3FDEF9FA"/>
    <w:rsid w:val="3FEA6067"/>
    <w:rsid w:val="3FFB3592"/>
    <w:rsid w:val="403B13C4"/>
    <w:rsid w:val="40903039"/>
    <w:rsid w:val="40CA654D"/>
    <w:rsid w:val="412D164A"/>
    <w:rsid w:val="42030D94"/>
    <w:rsid w:val="42144EA3"/>
    <w:rsid w:val="42240D23"/>
    <w:rsid w:val="42933CCC"/>
    <w:rsid w:val="42E466EA"/>
    <w:rsid w:val="43023472"/>
    <w:rsid w:val="4368615F"/>
    <w:rsid w:val="43881E28"/>
    <w:rsid w:val="43DA6112"/>
    <w:rsid w:val="43EF1492"/>
    <w:rsid w:val="43F85298"/>
    <w:rsid w:val="43FB72DC"/>
    <w:rsid w:val="43FECF49"/>
    <w:rsid w:val="446408F0"/>
    <w:rsid w:val="449A2D48"/>
    <w:rsid w:val="44B40ED4"/>
    <w:rsid w:val="44FA02FF"/>
    <w:rsid w:val="450F36EA"/>
    <w:rsid w:val="45F94EB9"/>
    <w:rsid w:val="468A3CFD"/>
    <w:rsid w:val="46920328"/>
    <w:rsid w:val="47043A29"/>
    <w:rsid w:val="4708124C"/>
    <w:rsid w:val="470D46D0"/>
    <w:rsid w:val="471A6137"/>
    <w:rsid w:val="47830ECF"/>
    <w:rsid w:val="47F4609E"/>
    <w:rsid w:val="48445BD6"/>
    <w:rsid w:val="48911C54"/>
    <w:rsid w:val="48A0111C"/>
    <w:rsid w:val="490306E4"/>
    <w:rsid w:val="49576ADD"/>
    <w:rsid w:val="499DE082"/>
    <w:rsid w:val="4A034451"/>
    <w:rsid w:val="4A525F16"/>
    <w:rsid w:val="4A586870"/>
    <w:rsid w:val="4AC05191"/>
    <w:rsid w:val="4AC7650A"/>
    <w:rsid w:val="4AEA556D"/>
    <w:rsid w:val="4AF0701B"/>
    <w:rsid w:val="4AFC49DF"/>
    <w:rsid w:val="4BB46D99"/>
    <w:rsid w:val="4BF8E4B0"/>
    <w:rsid w:val="4C61411B"/>
    <w:rsid w:val="4CC667D1"/>
    <w:rsid w:val="4D88492B"/>
    <w:rsid w:val="4DAE7EA0"/>
    <w:rsid w:val="4DB6E416"/>
    <w:rsid w:val="4DFF0C49"/>
    <w:rsid w:val="4EB85E39"/>
    <w:rsid w:val="4EEE0AB1"/>
    <w:rsid w:val="4EF91A44"/>
    <w:rsid w:val="4EFBC7AF"/>
    <w:rsid w:val="4F1E9D54"/>
    <w:rsid w:val="4F6B127B"/>
    <w:rsid w:val="4F9217DE"/>
    <w:rsid w:val="4FAF183A"/>
    <w:rsid w:val="4FB9294E"/>
    <w:rsid w:val="4FF51641"/>
    <w:rsid w:val="50342628"/>
    <w:rsid w:val="50EE17A6"/>
    <w:rsid w:val="512E1AEC"/>
    <w:rsid w:val="513B5F12"/>
    <w:rsid w:val="5167522A"/>
    <w:rsid w:val="51C9903F"/>
    <w:rsid w:val="522A035E"/>
    <w:rsid w:val="529E28D6"/>
    <w:rsid w:val="52C94BD4"/>
    <w:rsid w:val="52D11624"/>
    <w:rsid w:val="52E26224"/>
    <w:rsid w:val="53FFCFFC"/>
    <w:rsid w:val="540463E4"/>
    <w:rsid w:val="545614C2"/>
    <w:rsid w:val="546037BA"/>
    <w:rsid w:val="546B5D09"/>
    <w:rsid w:val="552D196B"/>
    <w:rsid w:val="556A0B58"/>
    <w:rsid w:val="55EE6EE1"/>
    <w:rsid w:val="562F1B79"/>
    <w:rsid w:val="56EC6C0D"/>
    <w:rsid w:val="577B5D45"/>
    <w:rsid w:val="57EF4C19"/>
    <w:rsid w:val="57F70465"/>
    <w:rsid w:val="57FF6A10"/>
    <w:rsid w:val="5814059B"/>
    <w:rsid w:val="58801F0A"/>
    <w:rsid w:val="58F129A6"/>
    <w:rsid w:val="59A16C8C"/>
    <w:rsid w:val="59E6048B"/>
    <w:rsid w:val="5A70491F"/>
    <w:rsid w:val="5A7FC938"/>
    <w:rsid w:val="5AC473BB"/>
    <w:rsid w:val="5ADD0ED3"/>
    <w:rsid w:val="5B0502B2"/>
    <w:rsid w:val="5B150C81"/>
    <w:rsid w:val="5B860B37"/>
    <w:rsid w:val="5BCF6A53"/>
    <w:rsid w:val="5BFACBC2"/>
    <w:rsid w:val="5BFAE21D"/>
    <w:rsid w:val="5C193170"/>
    <w:rsid w:val="5CFEDDA9"/>
    <w:rsid w:val="5D525C46"/>
    <w:rsid w:val="5D612657"/>
    <w:rsid w:val="5DA85288"/>
    <w:rsid w:val="5DE92E06"/>
    <w:rsid w:val="5E66262D"/>
    <w:rsid w:val="5EC770A1"/>
    <w:rsid w:val="5EF9B906"/>
    <w:rsid w:val="5F3FCE1E"/>
    <w:rsid w:val="5F9DF355"/>
    <w:rsid w:val="5FA7F613"/>
    <w:rsid w:val="5FB07F53"/>
    <w:rsid w:val="5FBA5757"/>
    <w:rsid w:val="5FC57EFE"/>
    <w:rsid w:val="5FD3A1E7"/>
    <w:rsid w:val="5FFF9880"/>
    <w:rsid w:val="613B52AA"/>
    <w:rsid w:val="615255EB"/>
    <w:rsid w:val="62576A63"/>
    <w:rsid w:val="62D039AE"/>
    <w:rsid w:val="62E91C4E"/>
    <w:rsid w:val="649BEFB3"/>
    <w:rsid w:val="64C32489"/>
    <w:rsid w:val="655A2973"/>
    <w:rsid w:val="6593771C"/>
    <w:rsid w:val="65BF786B"/>
    <w:rsid w:val="65D16E7D"/>
    <w:rsid w:val="66CB4FD3"/>
    <w:rsid w:val="66DD592D"/>
    <w:rsid w:val="66FF45CD"/>
    <w:rsid w:val="67FF6C26"/>
    <w:rsid w:val="6812307D"/>
    <w:rsid w:val="685B6DB7"/>
    <w:rsid w:val="689C7AF3"/>
    <w:rsid w:val="68DD1B4A"/>
    <w:rsid w:val="693C34D8"/>
    <w:rsid w:val="69593BB7"/>
    <w:rsid w:val="699349A2"/>
    <w:rsid w:val="69BB26C3"/>
    <w:rsid w:val="69CF23DF"/>
    <w:rsid w:val="69E5D2F3"/>
    <w:rsid w:val="6AA77BB6"/>
    <w:rsid w:val="6ABBD8B8"/>
    <w:rsid w:val="6AE79406"/>
    <w:rsid w:val="6B2826D6"/>
    <w:rsid w:val="6B565EFF"/>
    <w:rsid w:val="6BEFB812"/>
    <w:rsid w:val="6CC5544F"/>
    <w:rsid w:val="6D0B0036"/>
    <w:rsid w:val="6D302A87"/>
    <w:rsid w:val="6D370C18"/>
    <w:rsid w:val="6DDE0534"/>
    <w:rsid w:val="6DEA4CC2"/>
    <w:rsid w:val="6DEC45C2"/>
    <w:rsid w:val="6E276BFF"/>
    <w:rsid w:val="6E2A3E96"/>
    <w:rsid w:val="6E79879D"/>
    <w:rsid w:val="6E835FC6"/>
    <w:rsid w:val="6E982F22"/>
    <w:rsid w:val="6ECD3FCA"/>
    <w:rsid w:val="6EDFD05C"/>
    <w:rsid w:val="6EEF5FC7"/>
    <w:rsid w:val="6EF151C3"/>
    <w:rsid w:val="6F17C619"/>
    <w:rsid w:val="6F1E0C49"/>
    <w:rsid w:val="6F347A9E"/>
    <w:rsid w:val="6F3B3DBD"/>
    <w:rsid w:val="6F695458"/>
    <w:rsid w:val="6F6EE0CE"/>
    <w:rsid w:val="6F6F1515"/>
    <w:rsid w:val="6F734CE4"/>
    <w:rsid w:val="6F741E87"/>
    <w:rsid w:val="6F7680C7"/>
    <w:rsid w:val="6FA63C38"/>
    <w:rsid w:val="6FB97F4B"/>
    <w:rsid w:val="6FBDC688"/>
    <w:rsid w:val="6FCD7E1E"/>
    <w:rsid w:val="6FD97744"/>
    <w:rsid w:val="6FDF1965"/>
    <w:rsid w:val="6FEDB103"/>
    <w:rsid w:val="6FEF9057"/>
    <w:rsid w:val="6FF66D55"/>
    <w:rsid w:val="6FFE4E1A"/>
    <w:rsid w:val="6FFF1D6B"/>
    <w:rsid w:val="70097753"/>
    <w:rsid w:val="702675D1"/>
    <w:rsid w:val="70C72F90"/>
    <w:rsid w:val="714E9CBF"/>
    <w:rsid w:val="716E04EF"/>
    <w:rsid w:val="71775FB5"/>
    <w:rsid w:val="71F55DD0"/>
    <w:rsid w:val="725F013D"/>
    <w:rsid w:val="7283297C"/>
    <w:rsid w:val="72AE7DE2"/>
    <w:rsid w:val="72FBB1DE"/>
    <w:rsid w:val="73485EE2"/>
    <w:rsid w:val="73640162"/>
    <w:rsid w:val="73961F19"/>
    <w:rsid w:val="73D4612E"/>
    <w:rsid w:val="73DF89B3"/>
    <w:rsid w:val="73EE142D"/>
    <w:rsid w:val="74430EF0"/>
    <w:rsid w:val="74995F33"/>
    <w:rsid w:val="755FED35"/>
    <w:rsid w:val="759D8569"/>
    <w:rsid w:val="75ED4AD2"/>
    <w:rsid w:val="762027B2"/>
    <w:rsid w:val="76874601"/>
    <w:rsid w:val="771D11FE"/>
    <w:rsid w:val="7738D8EA"/>
    <w:rsid w:val="77472180"/>
    <w:rsid w:val="776B20F7"/>
    <w:rsid w:val="777DCF01"/>
    <w:rsid w:val="77AB111A"/>
    <w:rsid w:val="77BBAE36"/>
    <w:rsid w:val="77C95DEE"/>
    <w:rsid w:val="77CFDADE"/>
    <w:rsid w:val="77DD37F4"/>
    <w:rsid w:val="77F6E03E"/>
    <w:rsid w:val="77F8A9CB"/>
    <w:rsid w:val="77FD3EB1"/>
    <w:rsid w:val="78D815E2"/>
    <w:rsid w:val="795B6F1F"/>
    <w:rsid w:val="79676633"/>
    <w:rsid w:val="797A77F3"/>
    <w:rsid w:val="797E4E15"/>
    <w:rsid w:val="79841604"/>
    <w:rsid w:val="79A105D1"/>
    <w:rsid w:val="79A435BD"/>
    <w:rsid w:val="79DFF69B"/>
    <w:rsid w:val="79ED2D88"/>
    <w:rsid w:val="7A3E68BB"/>
    <w:rsid w:val="7A3F17CD"/>
    <w:rsid w:val="7AA7EB19"/>
    <w:rsid w:val="7ADFBB72"/>
    <w:rsid w:val="7B1258EB"/>
    <w:rsid w:val="7B6850D1"/>
    <w:rsid w:val="7B6A0A89"/>
    <w:rsid w:val="7B7FCAE9"/>
    <w:rsid w:val="7BA65E80"/>
    <w:rsid w:val="7BA7A1B1"/>
    <w:rsid w:val="7BB81026"/>
    <w:rsid w:val="7BCF1615"/>
    <w:rsid w:val="7BE266AA"/>
    <w:rsid w:val="7BE71CA3"/>
    <w:rsid w:val="7BE814B9"/>
    <w:rsid w:val="7BF179D3"/>
    <w:rsid w:val="7BF66155"/>
    <w:rsid w:val="7BFA1108"/>
    <w:rsid w:val="7BFAA8CC"/>
    <w:rsid w:val="7C532343"/>
    <w:rsid w:val="7C9E564F"/>
    <w:rsid w:val="7CB321E5"/>
    <w:rsid w:val="7CFE355A"/>
    <w:rsid w:val="7D5F6F70"/>
    <w:rsid w:val="7D67FE67"/>
    <w:rsid w:val="7D6D0192"/>
    <w:rsid w:val="7D74781D"/>
    <w:rsid w:val="7D7C4E56"/>
    <w:rsid w:val="7D900DCC"/>
    <w:rsid w:val="7DBB4C7E"/>
    <w:rsid w:val="7DFA883E"/>
    <w:rsid w:val="7DFB1279"/>
    <w:rsid w:val="7DFC5C6E"/>
    <w:rsid w:val="7DFD9CA3"/>
    <w:rsid w:val="7DFF5813"/>
    <w:rsid w:val="7E517117"/>
    <w:rsid w:val="7E5FA448"/>
    <w:rsid w:val="7EBF57AD"/>
    <w:rsid w:val="7EC034AC"/>
    <w:rsid w:val="7EDF22BD"/>
    <w:rsid w:val="7EE701F5"/>
    <w:rsid w:val="7EE97918"/>
    <w:rsid w:val="7EF60AD8"/>
    <w:rsid w:val="7F0137DA"/>
    <w:rsid w:val="7F29C35D"/>
    <w:rsid w:val="7F59754B"/>
    <w:rsid w:val="7F5E8766"/>
    <w:rsid w:val="7F6E813E"/>
    <w:rsid w:val="7F9F5370"/>
    <w:rsid w:val="7F9FB9A5"/>
    <w:rsid w:val="7FB4C80F"/>
    <w:rsid w:val="7FBF59D2"/>
    <w:rsid w:val="7FBF6324"/>
    <w:rsid w:val="7FCF3401"/>
    <w:rsid w:val="7FD9AC3C"/>
    <w:rsid w:val="7FE69D88"/>
    <w:rsid w:val="7FE83055"/>
    <w:rsid w:val="7FF3238E"/>
    <w:rsid w:val="7FF71708"/>
    <w:rsid w:val="7FF78AD7"/>
    <w:rsid w:val="7FFD3AE1"/>
    <w:rsid w:val="7FFDDC96"/>
    <w:rsid w:val="7FFF25F7"/>
    <w:rsid w:val="7FFF315E"/>
    <w:rsid w:val="7FFF3C34"/>
    <w:rsid w:val="7FFF62B6"/>
    <w:rsid w:val="7FFFD8ED"/>
    <w:rsid w:val="8376A55D"/>
    <w:rsid w:val="8EFB1880"/>
    <w:rsid w:val="8FABD49D"/>
    <w:rsid w:val="96DFF766"/>
    <w:rsid w:val="9787B9BF"/>
    <w:rsid w:val="97E7E35E"/>
    <w:rsid w:val="97FC3A39"/>
    <w:rsid w:val="97FFCF1F"/>
    <w:rsid w:val="99FB5FA6"/>
    <w:rsid w:val="9AB76687"/>
    <w:rsid w:val="9BFA9727"/>
    <w:rsid w:val="9EF6626B"/>
    <w:rsid w:val="9F77ABD8"/>
    <w:rsid w:val="9F925FB7"/>
    <w:rsid w:val="9FFFC29E"/>
    <w:rsid w:val="A3FFE6F8"/>
    <w:rsid w:val="A7FF6118"/>
    <w:rsid w:val="A9BFCBD2"/>
    <w:rsid w:val="AE7FEBD4"/>
    <w:rsid w:val="AEC31734"/>
    <w:rsid w:val="B3578B59"/>
    <w:rsid w:val="B36B819E"/>
    <w:rsid w:val="B5CE55CA"/>
    <w:rsid w:val="B7E9FDFC"/>
    <w:rsid w:val="B7F66437"/>
    <w:rsid w:val="B9373FE2"/>
    <w:rsid w:val="B97BC8DA"/>
    <w:rsid w:val="B9FD5883"/>
    <w:rsid w:val="BBB9D5E8"/>
    <w:rsid w:val="BBBFB2E8"/>
    <w:rsid w:val="BBFB6E2A"/>
    <w:rsid w:val="BCFB21F6"/>
    <w:rsid w:val="BD9F1FA7"/>
    <w:rsid w:val="BDDFABA5"/>
    <w:rsid w:val="BDF49AC4"/>
    <w:rsid w:val="BE9C5F87"/>
    <w:rsid w:val="BEBEB421"/>
    <w:rsid w:val="BEDEAC73"/>
    <w:rsid w:val="BEFF64A1"/>
    <w:rsid w:val="BF2F606A"/>
    <w:rsid w:val="BF324AEE"/>
    <w:rsid w:val="BFAA6424"/>
    <w:rsid w:val="BFB87D44"/>
    <w:rsid w:val="BFBF7AAA"/>
    <w:rsid w:val="BFDB7E1B"/>
    <w:rsid w:val="BFDFA445"/>
    <w:rsid w:val="BFE5F259"/>
    <w:rsid w:val="BFF7F337"/>
    <w:rsid w:val="BFFB8900"/>
    <w:rsid w:val="BFFC7316"/>
    <w:rsid w:val="BFFF2536"/>
    <w:rsid w:val="BFFFE655"/>
    <w:rsid w:val="C1FFBA75"/>
    <w:rsid w:val="C5EF6E98"/>
    <w:rsid w:val="CBF7A071"/>
    <w:rsid w:val="CC5535BB"/>
    <w:rsid w:val="CD775B1B"/>
    <w:rsid w:val="CF0F3285"/>
    <w:rsid w:val="CFFF7B71"/>
    <w:rsid w:val="CFFF971C"/>
    <w:rsid w:val="D4F7D532"/>
    <w:rsid w:val="D579E65E"/>
    <w:rsid w:val="D6FFCA69"/>
    <w:rsid w:val="D77FF755"/>
    <w:rsid w:val="D7BB200B"/>
    <w:rsid w:val="D97CB734"/>
    <w:rsid w:val="D9B3EF5B"/>
    <w:rsid w:val="D9FDA6BF"/>
    <w:rsid w:val="DBBF4807"/>
    <w:rsid w:val="DBDB29AB"/>
    <w:rsid w:val="DBFD7520"/>
    <w:rsid w:val="DBFF4518"/>
    <w:rsid w:val="DCB93659"/>
    <w:rsid w:val="DCD5145A"/>
    <w:rsid w:val="DDBA0EEF"/>
    <w:rsid w:val="DDFB6A8C"/>
    <w:rsid w:val="DE728EA8"/>
    <w:rsid w:val="DEBC8905"/>
    <w:rsid w:val="DF5764CA"/>
    <w:rsid w:val="DF7DAF97"/>
    <w:rsid w:val="DF8F792A"/>
    <w:rsid w:val="DFAFE165"/>
    <w:rsid w:val="DFB64CD0"/>
    <w:rsid w:val="DFDE0F79"/>
    <w:rsid w:val="DFEF307B"/>
    <w:rsid w:val="DFF55F08"/>
    <w:rsid w:val="DFF9005B"/>
    <w:rsid w:val="DFFF1B9F"/>
    <w:rsid w:val="DFFF6C23"/>
    <w:rsid w:val="E1FF5EAA"/>
    <w:rsid w:val="E2935FFA"/>
    <w:rsid w:val="E2EBE873"/>
    <w:rsid w:val="E32E8952"/>
    <w:rsid w:val="E3E7653A"/>
    <w:rsid w:val="E3FB28CA"/>
    <w:rsid w:val="E4BD4177"/>
    <w:rsid w:val="E4EEFE60"/>
    <w:rsid w:val="E53FAD57"/>
    <w:rsid w:val="E67FAD97"/>
    <w:rsid w:val="E6CFB530"/>
    <w:rsid w:val="E78A7151"/>
    <w:rsid w:val="E7FB5346"/>
    <w:rsid w:val="E87DB762"/>
    <w:rsid w:val="E8BF75AC"/>
    <w:rsid w:val="E9FE41CC"/>
    <w:rsid w:val="EAFF13CE"/>
    <w:rsid w:val="EB75630C"/>
    <w:rsid w:val="EB7B44FC"/>
    <w:rsid w:val="EBB868FE"/>
    <w:rsid w:val="EBBBA9BE"/>
    <w:rsid w:val="EC2FD509"/>
    <w:rsid w:val="ECE38B75"/>
    <w:rsid w:val="ECFF4E6F"/>
    <w:rsid w:val="ED582CCD"/>
    <w:rsid w:val="ED5B91D9"/>
    <w:rsid w:val="ED7BCBEE"/>
    <w:rsid w:val="EDDF2906"/>
    <w:rsid w:val="EEAAF918"/>
    <w:rsid w:val="EF27F98D"/>
    <w:rsid w:val="EF6FCBF6"/>
    <w:rsid w:val="EF7F8716"/>
    <w:rsid w:val="EFBF6751"/>
    <w:rsid w:val="EFBFCD86"/>
    <w:rsid w:val="EFE882C2"/>
    <w:rsid w:val="EFF21B53"/>
    <w:rsid w:val="EFF7086E"/>
    <w:rsid w:val="EFFB313C"/>
    <w:rsid w:val="EFFF2723"/>
    <w:rsid w:val="EFFFD9C5"/>
    <w:rsid w:val="EFFFDEE9"/>
    <w:rsid w:val="F2BE7394"/>
    <w:rsid w:val="F3F72B53"/>
    <w:rsid w:val="F3FB7A45"/>
    <w:rsid w:val="F57F57F3"/>
    <w:rsid w:val="F5FBA065"/>
    <w:rsid w:val="F6B386C3"/>
    <w:rsid w:val="F6BFED7C"/>
    <w:rsid w:val="F6DDBD3E"/>
    <w:rsid w:val="F6FF94A2"/>
    <w:rsid w:val="F77624FA"/>
    <w:rsid w:val="F85E606C"/>
    <w:rsid w:val="F8EB7F2D"/>
    <w:rsid w:val="F9AC0094"/>
    <w:rsid w:val="F9FE4244"/>
    <w:rsid w:val="FABEFFE0"/>
    <w:rsid w:val="FB7E7AE0"/>
    <w:rsid w:val="FB9BE1AB"/>
    <w:rsid w:val="FBCFAEB8"/>
    <w:rsid w:val="FBDF47E9"/>
    <w:rsid w:val="FBE73759"/>
    <w:rsid w:val="FBEE40E9"/>
    <w:rsid w:val="FBEFDE6D"/>
    <w:rsid w:val="FC9BE709"/>
    <w:rsid w:val="FC9D1A51"/>
    <w:rsid w:val="FCD5E9F1"/>
    <w:rsid w:val="FCDD5AC7"/>
    <w:rsid w:val="FD1A88AF"/>
    <w:rsid w:val="FD771BDB"/>
    <w:rsid w:val="FD7B6FC8"/>
    <w:rsid w:val="FDBD6564"/>
    <w:rsid w:val="FDD7857C"/>
    <w:rsid w:val="FDF3BEF2"/>
    <w:rsid w:val="FDF5E1FC"/>
    <w:rsid w:val="FDFB8657"/>
    <w:rsid w:val="FE798B52"/>
    <w:rsid w:val="FE9FEB98"/>
    <w:rsid w:val="FEDEA105"/>
    <w:rsid w:val="FEED57FE"/>
    <w:rsid w:val="FEF70946"/>
    <w:rsid w:val="FEF77E03"/>
    <w:rsid w:val="FEF7AF47"/>
    <w:rsid w:val="FEFE50BD"/>
    <w:rsid w:val="FEFFB5AC"/>
    <w:rsid w:val="FEFFE5BD"/>
    <w:rsid w:val="FF3C89B8"/>
    <w:rsid w:val="FF3FB5BA"/>
    <w:rsid w:val="FF645C61"/>
    <w:rsid w:val="FF9D79BF"/>
    <w:rsid w:val="FFB5AF74"/>
    <w:rsid w:val="FFB9D3AC"/>
    <w:rsid w:val="FFB9E451"/>
    <w:rsid w:val="FFBD0191"/>
    <w:rsid w:val="FFBF1BEA"/>
    <w:rsid w:val="FFBFFF83"/>
    <w:rsid w:val="FFCFA0A4"/>
    <w:rsid w:val="FFCFCD9B"/>
    <w:rsid w:val="FFEF9E5E"/>
    <w:rsid w:val="FFFBEF68"/>
    <w:rsid w:val="FFFD6936"/>
    <w:rsid w:val="FFFDA2CE"/>
    <w:rsid w:val="FFFE291E"/>
    <w:rsid w:val="FFFE4ACD"/>
    <w:rsid w:val="FFFFC6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zh-CN" w:bidi="ar-SA"/>
    </w:rPr>
  </w:style>
  <w:style w:type="paragraph" w:styleId="2">
    <w:name w:val="heading 1"/>
    <w:basedOn w:val="1"/>
    <w:next w:val="1"/>
    <w:qFormat/>
    <w:uiPriority w:val="1"/>
    <w:pPr>
      <w:ind w:left="573"/>
      <w:outlineLvl w:val="1"/>
    </w:pPr>
    <w:rPr>
      <w:rFonts w:ascii="宋体" w:hAnsi="宋体" w:eastAsia="宋体" w:cs="宋体"/>
      <w:sz w:val="44"/>
      <w:szCs w:val="44"/>
      <w:lang w:val="en-US" w:eastAsia="zh-CN" w:bidi="ar-SA"/>
    </w:rPr>
  </w:style>
  <w:style w:type="paragraph" w:styleId="3">
    <w:name w:val="heading 2"/>
    <w:basedOn w:val="1"/>
    <w:next w:val="1"/>
    <w:qFormat/>
    <w:uiPriority w:val="1"/>
    <w:pPr>
      <w:ind w:left="1067" w:hanging="324"/>
      <w:outlineLvl w:val="2"/>
    </w:pPr>
    <w:rPr>
      <w:rFonts w:ascii="仿宋" w:hAnsi="仿宋" w:eastAsia="仿宋" w:cs="仿宋"/>
      <w:b/>
      <w:bCs/>
      <w:sz w:val="32"/>
      <w:szCs w:val="32"/>
      <w:lang w:val="en-US" w:eastAsia="zh-CN" w:bidi="ar-SA"/>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6">
    <w:name w:val="toa heading"/>
    <w:basedOn w:val="1"/>
    <w:next w:val="1"/>
    <w:qFormat/>
    <w:uiPriority w:val="0"/>
    <w:rPr>
      <w:rFonts w:ascii="Arial" w:hAnsi="Arial"/>
      <w:sz w:val="24"/>
    </w:rPr>
  </w:style>
  <w:style w:type="paragraph" w:styleId="7">
    <w:name w:val="annotation text"/>
    <w:basedOn w:val="1"/>
    <w:qFormat/>
    <w:uiPriority w:val="0"/>
    <w:pPr>
      <w:jc w:val="left"/>
    </w:pPr>
  </w:style>
  <w:style w:type="paragraph" w:styleId="8">
    <w:name w:val="Body Text"/>
    <w:basedOn w:val="1"/>
    <w:qFormat/>
    <w:uiPriority w:val="1"/>
    <w:rPr>
      <w:rFonts w:ascii="仿宋" w:hAnsi="仿宋" w:eastAsia="仿宋" w:cs="仿宋"/>
      <w:sz w:val="32"/>
      <w:szCs w:val="32"/>
      <w:lang w:val="en-US" w:eastAsia="zh-CN" w:bidi="ar-SA"/>
    </w:r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1"/>
    <w:pPr>
      <w:spacing w:before="175"/>
      <w:ind w:left="1200"/>
    </w:pPr>
    <w:rPr>
      <w:rFonts w:ascii="宋体" w:hAnsi="宋体" w:eastAsia="宋体" w:cs="宋体"/>
      <w:sz w:val="30"/>
      <w:szCs w:val="30"/>
      <w:lang w:val="en-US" w:eastAsia="zh-CN" w:bidi="ar-SA"/>
    </w:rPr>
  </w:style>
  <w:style w:type="paragraph" w:styleId="13">
    <w:name w:val="toc 2"/>
    <w:basedOn w:val="1"/>
    <w:next w:val="1"/>
    <w:qFormat/>
    <w:uiPriority w:val="1"/>
    <w:pPr>
      <w:spacing w:before="175"/>
      <w:ind w:left="1800"/>
    </w:pPr>
    <w:rPr>
      <w:rFonts w:ascii="仿宋" w:hAnsi="仿宋" w:eastAsia="仿宋" w:cs="仿宋"/>
      <w:sz w:val="30"/>
      <w:szCs w:val="30"/>
      <w:lang w:val="en-US" w:eastAsia="zh-CN" w:bidi="ar-SA"/>
    </w:rPr>
  </w:style>
  <w:style w:type="paragraph" w:styleId="14">
    <w:name w:val="Normal (Web)"/>
    <w:basedOn w:val="1"/>
    <w:qFormat/>
    <w:uiPriority w:val="0"/>
    <w:rPr>
      <w:sz w:val="24"/>
    </w:rPr>
  </w:style>
  <w:style w:type="paragraph" w:styleId="15">
    <w:name w:val="Title"/>
    <w:basedOn w:val="1"/>
    <w:qFormat/>
    <w:uiPriority w:val="1"/>
    <w:pPr>
      <w:spacing w:before="159"/>
      <w:ind w:left="1152" w:right="1833"/>
      <w:jc w:val="center"/>
    </w:pPr>
    <w:rPr>
      <w:rFonts w:ascii="宋体" w:hAnsi="宋体" w:eastAsia="宋体" w:cs="宋体"/>
      <w:sz w:val="72"/>
      <w:szCs w:val="72"/>
      <w:lang w:val="en-US" w:eastAsia="zh-CN" w:bidi="ar-SA"/>
    </w:r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Default"/>
    <w:qFormat/>
    <w:uiPriority w:val="99"/>
    <w:pPr>
      <w:widowControl w:val="0"/>
      <w:autoSpaceDE w:val="0"/>
      <w:autoSpaceDN w:val="0"/>
      <w:adjustRightInd w:val="0"/>
    </w:pPr>
    <w:rPr>
      <w:rFonts w:ascii="方正仿宋简体" w:hAnsi="方正仿宋简体" w:eastAsia="方正仿宋简体" w:cs="方正仿宋简体"/>
      <w:color w:val="000000"/>
      <w:sz w:val="24"/>
      <w:szCs w:val="24"/>
      <w:lang w:val="en-US" w:eastAsia="zh-CN" w:bidi="ar-SA"/>
    </w:rPr>
  </w:style>
  <w:style w:type="table" w:customStyle="1" w:styleId="22">
    <w:name w:val="Table Normal"/>
    <w:unhideWhenUsed/>
    <w:qFormat/>
    <w:uiPriority w:val="2"/>
    <w:tblPr>
      <w:tblCellMar>
        <w:top w:w="0" w:type="dxa"/>
        <w:left w:w="0" w:type="dxa"/>
        <w:bottom w:w="0" w:type="dxa"/>
        <w:right w:w="0" w:type="dxa"/>
      </w:tblCellMar>
    </w:tblPr>
  </w:style>
  <w:style w:type="paragraph" w:customStyle="1" w:styleId="23">
    <w:name w:val="List Paragraph"/>
    <w:basedOn w:val="1"/>
    <w:qFormat/>
    <w:uiPriority w:val="1"/>
    <w:pPr>
      <w:ind w:left="103" w:firstLine="640"/>
    </w:pPr>
    <w:rPr>
      <w:rFonts w:ascii="仿宋" w:hAnsi="仿宋" w:eastAsia="仿宋" w:cs="仿宋"/>
      <w:lang w:val="en-US" w:eastAsia="zh-CN" w:bidi="ar-SA"/>
    </w:rPr>
  </w:style>
  <w:style w:type="paragraph" w:customStyle="1" w:styleId="24">
    <w:name w:val="Table Paragraph"/>
    <w:basedOn w:val="1"/>
    <w:qFormat/>
    <w:uiPriority w:val="1"/>
    <w:rPr>
      <w:rFonts w:ascii="仿宋" w:hAnsi="仿宋" w:eastAsia="仿宋" w:cs="仿宋"/>
      <w:lang w:val="en-US" w:eastAsia="zh-CN" w:bidi="ar-SA"/>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 w:type="paragraph" w:customStyle="1" w:styleId="28">
    <w:name w:val="Table Text"/>
    <w:basedOn w:val="1"/>
    <w:semiHidden/>
    <w:qFormat/>
    <w:uiPriority w:val="0"/>
    <w:rPr>
      <w:rFonts w:ascii="FangSong_GB2312" w:hAnsi="FangSong_GB2312" w:eastAsia="FangSong_GB2312" w:cs="FangSong_GB2312"/>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7398</Words>
  <Characters>7695</Characters>
  <Lines>1</Lines>
  <Paragraphs>1</Paragraphs>
  <TotalTime>0</TotalTime>
  <ScaleCrop>false</ScaleCrop>
  <LinksUpToDate>false</LinksUpToDate>
  <CharactersWithSpaces>7924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2024-10-03T00:50:00Z</dcterms:created>
  <dc:creator>Lenovo</dc:creator>
  <cp:lastModifiedBy>走兔</cp:lastModifiedBy>
  <cp:lastPrinted>2025-07-12T01:01:00Z</cp:lastPrinted>
  <dcterms:modified xsi:type="dcterms:W3CDTF">2025-09-12T02:58:40Z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WPS 文字</vt:lpwstr>
  </property>
  <property fmtid="{D5CDD505-2E9C-101B-9397-08002B2CF9AE}" pid="4" name="LastSaved">
    <vt:filetime>2024-09-13T00:00:00Z</vt:filetime>
  </property>
  <property fmtid="{D5CDD505-2E9C-101B-9397-08002B2CF9AE}" pid="5" name="KSOProductBuildVer">
    <vt:lpwstr>2052-12.1.0.22529</vt:lpwstr>
  </property>
  <property fmtid="{D5CDD505-2E9C-101B-9397-08002B2CF9AE}" pid="6" name="ICV">
    <vt:lpwstr>D94791FE65D194EC7999BF688A10AA8D_43</vt:lpwstr>
  </property>
  <property fmtid="{D5CDD505-2E9C-101B-9397-08002B2CF9AE}" pid="7" name="KSOTemplateDocerSaveRecord">
    <vt:lpwstr>eyJoZGlkIjoiNjRlNjg0OTI1ODQ3NzczYTkzZDUxNDE1YzllN2U5MDciLCJ1c2VySWQiOiIzOTc3NTQ0NjMifQ==</vt:lpwstr>
  </property>
</Properties>
</file>