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4C748">
      <w:pPr>
        <w:pStyle w:val="8"/>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auto"/>
          <w:sz w:val="44"/>
          <w:szCs w:val="44"/>
          <w:lang w:val="en-US" w:eastAsia="zh-CN"/>
        </w:rPr>
      </w:pPr>
    </w:p>
    <w:p w14:paraId="73425E08">
      <w:pPr>
        <w:pStyle w:val="4"/>
        <w:rPr>
          <w:rFonts w:hint="eastAsia"/>
          <w:lang w:val="en-US" w:eastAsia="zh-CN"/>
        </w:rPr>
      </w:pPr>
    </w:p>
    <w:p w14:paraId="7EECA79F">
      <w:pPr>
        <w:pStyle w:val="8"/>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auto"/>
          <w:sz w:val="44"/>
          <w:szCs w:val="44"/>
          <w:lang w:val="en-US" w:eastAsia="zh-CN"/>
        </w:rPr>
      </w:pPr>
    </w:p>
    <w:p w14:paraId="41E64FF3">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sz w:val="32"/>
          <w:szCs w:val="32"/>
          <w:lang w:val="en-US" w:eastAsia="zh-CN"/>
        </w:rPr>
      </w:pPr>
      <w:r>
        <w:rPr>
          <w:rFonts w:hint="eastAsia" w:ascii="仿宋_GB2312" w:hAnsi="仿宋_GB2312" w:eastAsia="仿宋_GB2312" w:cs="仿宋_GB2312"/>
          <w:i w:val="0"/>
          <w:color w:val="000000"/>
          <w:sz w:val="32"/>
          <w:szCs w:val="32"/>
          <w:lang w:eastAsia="zh-CN"/>
        </w:rPr>
        <w:t>龙医保〔202</w:t>
      </w:r>
      <w:r>
        <w:rPr>
          <w:rFonts w:hint="eastAsia" w:ascii="仿宋_GB2312" w:hAnsi="仿宋_GB2312" w:eastAsia="仿宋_GB2312" w:cs="仿宋_GB2312"/>
          <w:i w:val="0"/>
          <w:color w:val="000000"/>
          <w:sz w:val="32"/>
          <w:szCs w:val="32"/>
          <w:lang w:val="en-US" w:eastAsia="zh-CN"/>
        </w:rPr>
        <w:t>6</w:t>
      </w:r>
      <w:r>
        <w:rPr>
          <w:rFonts w:hint="eastAsia" w:ascii="仿宋_GB2312" w:hAnsi="仿宋_GB2312" w:eastAsia="仿宋_GB2312" w:cs="仿宋_GB2312"/>
          <w:i w:val="0"/>
          <w:color w:val="000000"/>
          <w:sz w:val="32"/>
          <w:szCs w:val="32"/>
          <w:lang w:eastAsia="zh-CN"/>
        </w:rPr>
        <w:t>〕</w:t>
      </w:r>
      <w:r>
        <w:rPr>
          <w:rFonts w:hint="eastAsia" w:ascii="仿宋_GB2312" w:hAnsi="仿宋_GB2312" w:eastAsia="仿宋_GB2312" w:cs="仿宋_GB2312"/>
          <w:i w:val="0"/>
          <w:color w:val="000000"/>
          <w:sz w:val="32"/>
          <w:szCs w:val="32"/>
          <w:lang w:val="en-US" w:eastAsia="zh-CN"/>
        </w:rPr>
        <w:t>34</w:t>
      </w:r>
      <w:bookmarkStart w:id="0" w:name="_GoBack"/>
      <w:bookmarkEnd w:id="0"/>
      <w:r>
        <w:rPr>
          <w:rFonts w:hint="eastAsia" w:ascii="仿宋_GB2312" w:hAnsi="仿宋_GB2312" w:eastAsia="仿宋_GB2312" w:cs="仿宋_GB2312"/>
          <w:i w:val="0"/>
          <w:color w:val="000000"/>
          <w:sz w:val="32"/>
          <w:szCs w:val="32"/>
          <w:lang w:eastAsia="zh-CN"/>
        </w:rPr>
        <w:t>号</w:t>
      </w:r>
    </w:p>
    <w:p w14:paraId="28032216">
      <w:pPr>
        <w:pStyle w:val="8"/>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方正小标宋简体" w:hAnsi="方正小标宋简体" w:eastAsia="方正小标宋简体" w:cs="方正小标宋简体"/>
          <w:color w:val="auto"/>
          <w:sz w:val="44"/>
          <w:szCs w:val="44"/>
          <w:lang w:val="en-US" w:eastAsia="zh-CN"/>
        </w:rPr>
      </w:pPr>
    </w:p>
    <w:p w14:paraId="77AF100D">
      <w:pPr>
        <w:pStyle w:val="8"/>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default"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龙岩</w:t>
      </w:r>
      <w:r>
        <w:rPr>
          <w:rFonts w:hint="default" w:ascii="方正小标宋简体" w:hAnsi="方正小标宋简体" w:eastAsia="方正小标宋简体" w:cs="方正小标宋简体"/>
          <w:color w:val="auto"/>
          <w:sz w:val="44"/>
          <w:szCs w:val="44"/>
          <w:lang w:val="en-US" w:eastAsia="zh-CN"/>
        </w:rPr>
        <w:t>市医疗保障</w:t>
      </w:r>
      <w:r>
        <w:rPr>
          <w:rFonts w:hint="eastAsia" w:ascii="方正小标宋简体" w:hAnsi="方正小标宋简体" w:eastAsia="方正小标宋简体" w:cs="方正小标宋简体"/>
          <w:color w:val="auto"/>
          <w:sz w:val="44"/>
          <w:szCs w:val="44"/>
          <w:lang w:val="en-US" w:eastAsia="zh-CN"/>
        </w:rPr>
        <w:t>局</w:t>
      </w:r>
      <w:r>
        <w:rPr>
          <w:rFonts w:hint="default" w:ascii="方正小标宋简体" w:hAnsi="方正小标宋简体" w:eastAsia="方正小标宋简体" w:cs="方正小标宋简体"/>
          <w:color w:val="auto"/>
          <w:sz w:val="44"/>
          <w:szCs w:val="44"/>
          <w:lang w:val="en-US" w:eastAsia="zh-CN"/>
        </w:rPr>
        <w:t>关于遴选长期护理保险</w:t>
      </w:r>
    </w:p>
    <w:p w14:paraId="39BD7F5B">
      <w:pPr>
        <w:pStyle w:val="8"/>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仿宋" w:hAnsi="仿宋" w:eastAsia="仿宋" w:cs="Times New Roman"/>
          <w:color w:val="000000"/>
          <w:kern w:val="2"/>
          <w:sz w:val="44"/>
          <w:szCs w:val="44"/>
          <w:lang w:val="en-US" w:eastAsia="zh-CN" w:bidi="ar-SA"/>
        </w:rPr>
      </w:pPr>
      <w:r>
        <w:rPr>
          <w:rFonts w:hint="default" w:ascii="方正小标宋简体" w:hAnsi="方正小标宋简体" w:eastAsia="方正小标宋简体" w:cs="方正小标宋简体"/>
          <w:color w:val="auto"/>
          <w:sz w:val="44"/>
          <w:szCs w:val="44"/>
          <w:lang w:val="en-US" w:eastAsia="zh-CN"/>
        </w:rPr>
        <w:t>失能等级评估人员培训机构的通知</w:t>
      </w:r>
      <w:r>
        <w:rPr>
          <w:rFonts w:hint="default" w:ascii="方正小标宋简体" w:hAnsi="方正小标宋简体" w:eastAsia="方正小标宋简体" w:cs="方正小标宋简体"/>
          <w:color w:val="auto"/>
          <w:sz w:val="44"/>
          <w:szCs w:val="44"/>
          <w:lang w:val="en-US" w:eastAsia="zh-CN"/>
        </w:rPr>
        <w:fldChar w:fldCharType="begin"/>
      </w:r>
      <w:r>
        <w:rPr>
          <w:rFonts w:hint="default" w:ascii="方正小标宋简体" w:hAnsi="方正小标宋简体" w:eastAsia="方正小标宋简体" w:cs="方正小标宋简体"/>
          <w:color w:val="auto"/>
          <w:sz w:val="44"/>
          <w:szCs w:val="44"/>
          <w:lang w:val="en-US" w:eastAsia="zh-CN"/>
        </w:rPr>
        <w:instrText xml:space="preserve"> HYPERLINK "javascript:void(0)" \o "分享到新浪微博" </w:instrText>
      </w:r>
      <w:r>
        <w:rPr>
          <w:rFonts w:hint="default" w:ascii="方正小标宋简体" w:hAnsi="方正小标宋简体" w:eastAsia="方正小标宋简体" w:cs="方正小标宋简体"/>
          <w:color w:val="auto"/>
          <w:sz w:val="44"/>
          <w:szCs w:val="44"/>
          <w:lang w:val="en-US" w:eastAsia="zh-CN"/>
        </w:rPr>
        <w:fldChar w:fldCharType="separate"/>
      </w:r>
      <w:r>
        <w:rPr>
          <w:rFonts w:hint="default" w:ascii="方正小标宋简体" w:hAnsi="方正小标宋简体" w:eastAsia="方正小标宋简体" w:cs="方正小标宋简体"/>
          <w:color w:val="auto"/>
          <w:sz w:val="44"/>
          <w:szCs w:val="44"/>
          <w:lang w:val="en-US" w:eastAsia="zh-CN"/>
        </w:rPr>
        <w:fldChar w:fldCharType="end"/>
      </w:r>
      <w:r>
        <w:rPr>
          <w:rFonts w:hint="default" w:ascii="方正小标宋简体" w:hAnsi="方正小标宋简体" w:eastAsia="方正小标宋简体" w:cs="方正小标宋简体"/>
          <w:color w:val="auto"/>
          <w:sz w:val="44"/>
          <w:szCs w:val="44"/>
          <w:lang w:val="en-US" w:eastAsia="zh-CN"/>
        </w:rPr>
        <w:fldChar w:fldCharType="begin"/>
      </w:r>
      <w:r>
        <w:rPr>
          <w:rFonts w:hint="default" w:ascii="方正小标宋简体" w:hAnsi="方正小标宋简体" w:eastAsia="方正小标宋简体" w:cs="方正小标宋简体"/>
          <w:color w:val="auto"/>
          <w:sz w:val="44"/>
          <w:szCs w:val="44"/>
          <w:lang w:val="en-US" w:eastAsia="zh-CN"/>
        </w:rPr>
        <w:instrText xml:space="preserve"> HYPERLINK "javascript:void(0)" \o "分享到微信" </w:instrText>
      </w:r>
      <w:r>
        <w:rPr>
          <w:rFonts w:hint="default" w:ascii="方正小标宋简体" w:hAnsi="方正小标宋简体" w:eastAsia="方正小标宋简体" w:cs="方正小标宋简体"/>
          <w:color w:val="auto"/>
          <w:sz w:val="44"/>
          <w:szCs w:val="44"/>
          <w:lang w:val="en-US" w:eastAsia="zh-CN"/>
        </w:rPr>
        <w:fldChar w:fldCharType="separate"/>
      </w:r>
      <w:r>
        <w:rPr>
          <w:rFonts w:hint="default" w:ascii="方正小标宋简体" w:hAnsi="方正小标宋简体" w:eastAsia="方正小标宋简体" w:cs="方正小标宋简体"/>
          <w:color w:val="auto"/>
          <w:sz w:val="44"/>
          <w:szCs w:val="44"/>
          <w:lang w:val="en-US" w:eastAsia="zh-CN"/>
        </w:rPr>
        <w:fldChar w:fldCharType="end"/>
      </w:r>
      <w:r>
        <w:rPr>
          <w:rFonts w:hint="default" w:ascii="方正小标宋简体" w:hAnsi="方正小标宋简体" w:eastAsia="方正小标宋简体" w:cs="方正小标宋简体"/>
          <w:color w:val="auto"/>
          <w:sz w:val="44"/>
          <w:szCs w:val="44"/>
          <w:lang w:val="en-US" w:eastAsia="zh-CN"/>
        </w:rPr>
        <w:fldChar w:fldCharType="begin"/>
      </w:r>
      <w:r>
        <w:rPr>
          <w:rFonts w:hint="default" w:ascii="方正小标宋简体" w:hAnsi="方正小标宋简体" w:eastAsia="方正小标宋简体" w:cs="方正小标宋简体"/>
          <w:color w:val="auto"/>
          <w:sz w:val="44"/>
          <w:szCs w:val="44"/>
          <w:lang w:val="en-US" w:eastAsia="zh-CN"/>
        </w:rPr>
        <w:instrText xml:space="preserve"> HYPERLINK "javascript:void(0)" \o "分享到QQ空间" </w:instrText>
      </w:r>
      <w:r>
        <w:rPr>
          <w:rFonts w:hint="default" w:ascii="方正小标宋简体" w:hAnsi="方正小标宋简体" w:eastAsia="方正小标宋简体" w:cs="方正小标宋简体"/>
          <w:color w:val="auto"/>
          <w:sz w:val="44"/>
          <w:szCs w:val="44"/>
          <w:lang w:val="en-US" w:eastAsia="zh-CN"/>
        </w:rPr>
        <w:fldChar w:fldCharType="separate"/>
      </w:r>
      <w:r>
        <w:rPr>
          <w:rFonts w:hint="default" w:ascii="方正小标宋简体" w:hAnsi="方正小标宋简体" w:eastAsia="方正小标宋简体" w:cs="方正小标宋简体"/>
          <w:color w:val="auto"/>
          <w:sz w:val="44"/>
          <w:szCs w:val="44"/>
          <w:lang w:val="en-US" w:eastAsia="zh-CN"/>
        </w:rPr>
        <w:fldChar w:fldCharType="end"/>
      </w:r>
      <w:r>
        <w:rPr>
          <w:rFonts w:hint="eastAsia" w:ascii="方正小标宋简体" w:hAnsi="仿宋" w:eastAsia="方正小标宋简体" w:cs="Times New Roman"/>
          <w:color w:val="000000"/>
          <w:kern w:val="2"/>
          <w:sz w:val="44"/>
          <w:szCs w:val="44"/>
          <w:lang w:val="en-US" w:eastAsia="zh-CN" w:bidi="ar-SA"/>
        </w:rPr>
        <w:t>　</w:t>
      </w:r>
    </w:p>
    <w:p w14:paraId="6FF5165D">
      <w:pPr>
        <w:spacing w:line="620" w:lineRule="exact"/>
        <w:rPr>
          <w:rFonts w:hint="eastAsia" w:ascii="仿宋" w:hAnsi="仿宋" w:eastAsia="仿宋" w:cs="Times New Roman"/>
          <w:color w:val="000000"/>
          <w:sz w:val="32"/>
          <w:szCs w:val="32"/>
        </w:rPr>
      </w:pPr>
    </w:p>
    <w:p w14:paraId="3EC5867A">
      <w:pPr>
        <w:spacing w:line="62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各有关单位：</w:t>
      </w:r>
    </w:p>
    <w:p w14:paraId="013708AF">
      <w:pPr>
        <w:spacing w:line="62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为健全</w:t>
      </w:r>
      <w:r>
        <w:rPr>
          <w:rFonts w:hint="eastAsia" w:ascii="仿宋_GB2312" w:hAnsi="仿宋_GB2312" w:eastAsia="仿宋_GB2312" w:cs="仿宋_GB2312"/>
          <w:color w:val="000000"/>
          <w:sz w:val="32"/>
          <w:szCs w:val="32"/>
          <w:lang w:eastAsia="zh-CN"/>
        </w:rPr>
        <w:t>完善</w:t>
      </w:r>
      <w:r>
        <w:rPr>
          <w:rFonts w:hint="eastAsia" w:ascii="仿宋_GB2312" w:hAnsi="仿宋_GB2312" w:eastAsia="仿宋_GB2312" w:cs="仿宋_GB2312"/>
          <w:color w:val="000000"/>
          <w:sz w:val="32"/>
          <w:szCs w:val="32"/>
        </w:rPr>
        <w:t>我市长期护理保险（以下简称“长护险”）失能等级评估人员</w:t>
      </w:r>
      <w:r>
        <w:rPr>
          <w:rFonts w:hint="eastAsia" w:ascii="仿宋_GB2312" w:hAnsi="仿宋_GB2312" w:eastAsia="仿宋_GB2312" w:cs="仿宋_GB2312"/>
          <w:color w:val="000000"/>
          <w:sz w:val="32"/>
          <w:szCs w:val="32"/>
          <w:lang w:eastAsia="zh-CN"/>
        </w:rPr>
        <w:t>常态化、</w:t>
      </w:r>
      <w:r>
        <w:rPr>
          <w:rFonts w:hint="eastAsia" w:ascii="仿宋_GB2312" w:hAnsi="仿宋_GB2312" w:eastAsia="仿宋_GB2312" w:cs="仿宋_GB2312"/>
          <w:color w:val="000000"/>
          <w:sz w:val="32"/>
          <w:szCs w:val="32"/>
        </w:rPr>
        <w:t>系统化培训体系，</w:t>
      </w:r>
      <w:r>
        <w:rPr>
          <w:rFonts w:hint="eastAsia" w:ascii="仿宋_GB2312" w:hAnsi="仿宋_GB2312" w:eastAsia="仿宋_GB2312" w:cs="仿宋_GB2312"/>
          <w:color w:val="000000"/>
          <w:sz w:val="32"/>
          <w:szCs w:val="32"/>
          <w:lang w:eastAsia="zh-CN"/>
        </w:rPr>
        <w:t>不断</w:t>
      </w:r>
      <w:r>
        <w:rPr>
          <w:rFonts w:hint="eastAsia" w:ascii="仿宋_GB2312" w:hAnsi="仿宋_GB2312" w:eastAsia="仿宋_GB2312" w:cs="仿宋_GB2312"/>
          <w:color w:val="000000"/>
          <w:sz w:val="32"/>
          <w:szCs w:val="32"/>
        </w:rPr>
        <w:t>夯实评估</w:t>
      </w:r>
      <w:r>
        <w:rPr>
          <w:rFonts w:hint="eastAsia" w:ascii="仿宋_GB2312" w:hAnsi="仿宋_GB2312" w:eastAsia="仿宋_GB2312" w:cs="仿宋_GB2312"/>
          <w:color w:val="000000"/>
          <w:sz w:val="32"/>
          <w:szCs w:val="32"/>
          <w:lang w:eastAsia="zh-CN"/>
        </w:rPr>
        <w:t>队伍专业能力，推动失能等级评估</w:t>
      </w:r>
      <w:r>
        <w:rPr>
          <w:rFonts w:hint="eastAsia" w:ascii="仿宋_GB2312" w:hAnsi="仿宋_GB2312" w:eastAsia="仿宋_GB2312" w:cs="仿宋_GB2312"/>
          <w:color w:val="000000"/>
          <w:sz w:val="32"/>
          <w:szCs w:val="32"/>
        </w:rPr>
        <w:t>工作</w:t>
      </w:r>
      <w:r>
        <w:rPr>
          <w:rFonts w:hint="eastAsia" w:ascii="仿宋_GB2312" w:hAnsi="仿宋_GB2312" w:eastAsia="仿宋_GB2312" w:cs="仿宋_GB2312"/>
          <w:color w:val="000000"/>
          <w:sz w:val="32"/>
          <w:szCs w:val="32"/>
          <w:lang w:eastAsia="zh-CN"/>
        </w:rPr>
        <w:t>规范运行</w:t>
      </w:r>
      <w:r>
        <w:rPr>
          <w:rFonts w:hint="eastAsia" w:ascii="仿宋_GB2312" w:hAnsi="仿宋_GB2312" w:eastAsia="仿宋_GB2312" w:cs="仿宋_GB2312"/>
          <w:color w:val="000000"/>
          <w:sz w:val="32"/>
          <w:szCs w:val="32"/>
        </w:rPr>
        <w:t>，根据《国家医保局办公室 民政部办公厅关于印发〈长期护理失能等级评估标准（试行）〉的通知》（医保办发〔2021〕37号）及《福建省医疗保障局关于印发〈长期护理保险失能等级评估人员培训方案〉的通知》（闽医保待遇函〔2025〕102号）等文件要求，面向社会公开遴选长期护理保险失能等级评估人员培训机构。现就有关事项通知如下：</w:t>
      </w:r>
    </w:p>
    <w:p w14:paraId="5F80E021">
      <w:pPr>
        <w:spacing w:line="620" w:lineRule="exact"/>
        <w:ind w:firstLine="640" w:firstLineChars="200"/>
        <w:rPr>
          <w:rFonts w:hint="eastAsia" w:ascii="国标黑体" w:hAnsi="国标黑体" w:eastAsia="国标黑体" w:cs="国标黑体"/>
          <w:color w:val="000000"/>
          <w:sz w:val="32"/>
          <w:szCs w:val="32"/>
        </w:rPr>
      </w:pPr>
      <w:r>
        <w:rPr>
          <w:rFonts w:hint="eastAsia" w:ascii="国标黑体" w:hAnsi="国标黑体" w:eastAsia="国标黑体" w:cs="国标黑体"/>
          <w:color w:val="000000"/>
          <w:sz w:val="32"/>
          <w:szCs w:val="32"/>
        </w:rPr>
        <w:t>一、工作目标</w:t>
      </w:r>
    </w:p>
    <w:p w14:paraId="6949E578">
      <w:pPr>
        <w:spacing w:line="62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坚持需求导向，通过标准化培训体系，培养一批了解长护险政策、掌握评估标准、熟悉评估流程、具备风险管理能力的专业化评估人员，确保失能等级评估的科学性、公平性和规范性，为我市长护险评估工作夯实人才基础、提升工作质效。按照省医保局“原则上每个统筹区应根据本地专业化的师资力量确定1家培训机构”的工作要求，遴选确定本市1家培训机构承担失能等级评估人员培训任务。</w:t>
      </w:r>
    </w:p>
    <w:p w14:paraId="135AB84A">
      <w:pPr>
        <w:spacing w:line="620" w:lineRule="exact"/>
        <w:ind w:firstLine="640" w:firstLineChars="200"/>
        <w:rPr>
          <w:rFonts w:hint="eastAsia" w:ascii="国标黑体" w:hAnsi="国标黑体" w:eastAsia="国标黑体" w:cs="国标黑体"/>
          <w:color w:val="000000"/>
          <w:sz w:val="32"/>
          <w:szCs w:val="32"/>
        </w:rPr>
      </w:pPr>
      <w:r>
        <w:rPr>
          <w:rFonts w:hint="eastAsia" w:ascii="国标黑体" w:hAnsi="国标黑体" w:eastAsia="国标黑体" w:cs="国标黑体"/>
          <w:color w:val="000000"/>
          <w:sz w:val="32"/>
          <w:szCs w:val="32"/>
        </w:rPr>
        <w:t>二、申请条件</w:t>
      </w:r>
    </w:p>
    <w:p w14:paraId="1A88D832">
      <w:pPr>
        <w:spacing w:line="620" w:lineRule="exact"/>
        <w:ind w:firstLine="643" w:firstLineChars="200"/>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（一）基本条件</w:t>
      </w:r>
    </w:p>
    <w:p w14:paraId="7699C950">
      <w:pPr>
        <w:spacing w:line="62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1.具备中华人民共和国法人资格的高等院校、公立医疗机构等信用状况良好，未被列入有关经营（运营）异常名录或严重违法失信单位名单，无不良记录。</w:t>
      </w:r>
    </w:p>
    <w:p w14:paraId="137B27F1">
      <w:pPr>
        <w:spacing w:line="62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2.高等院校需开设老年医学、康复医学或护理学等康复护理相关专业，公立医疗机构应为二级及以上且设置康复医学、老年医学等相关科室。</w:t>
      </w:r>
    </w:p>
    <w:p w14:paraId="327C2A25">
      <w:pPr>
        <w:spacing w:line="62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3.配备专门的理论培训场所及标准化评估室（含辅助器具模拟场景），培训场地应符合国家规定的消防要求、具备培训教学需要的教学工具和物资。</w:t>
      </w:r>
    </w:p>
    <w:p w14:paraId="69CC8159">
      <w:pPr>
        <w:spacing w:line="62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4.具有举办过业务类事项培训经验，具备培训组织能力，当次最高培训接待能力不低于200人。</w:t>
      </w:r>
    </w:p>
    <w:p w14:paraId="703A6F7E">
      <w:pPr>
        <w:spacing w:line="62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具备保障评估培训需要的师资团队资源，包括长护险政策制定部门相关负责人及业务骨干、长护险领域专家学者、三级医院中级以上临床医学、护理、康复、精神心理专家、法律顾问、长护险失能等级评估工作人员等。</w:t>
      </w:r>
    </w:p>
    <w:p w14:paraId="0B1FD71D">
      <w:pPr>
        <w:spacing w:line="620" w:lineRule="exact"/>
        <w:ind w:firstLine="643" w:firstLineChars="200"/>
        <w:rPr>
          <w:rFonts w:hint="eastAsia" w:ascii="楷体_GB2312" w:hAnsi="楷体_GB2312" w:eastAsia="楷体_GB2312" w:cs="楷体_GB2312"/>
          <w:b/>
          <w:bCs/>
          <w:color w:val="000000"/>
          <w:sz w:val="32"/>
          <w:szCs w:val="32"/>
          <w:lang w:val="en-US" w:eastAsia="zh-CN"/>
        </w:rPr>
      </w:pPr>
      <w:r>
        <w:rPr>
          <w:rFonts w:hint="eastAsia" w:ascii="楷体_GB2312" w:hAnsi="楷体_GB2312" w:eastAsia="楷体_GB2312" w:cs="楷体_GB2312"/>
          <w:b/>
          <w:bCs/>
          <w:color w:val="000000"/>
          <w:sz w:val="32"/>
          <w:szCs w:val="32"/>
        </w:rPr>
        <w:t>（二）</w:t>
      </w:r>
      <w:r>
        <w:rPr>
          <w:rFonts w:hint="eastAsia" w:ascii="楷体_GB2312" w:hAnsi="楷体_GB2312" w:eastAsia="楷体_GB2312" w:cs="楷体_GB2312"/>
          <w:b/>
          <w:bCs/>
          <w:color w:val="000000"/>
          <w:sz w:val="32"/>
          <w:szCs w:val="32"/>
          <w:lang w:eastAsia="zh-CN"/>
        </w:rPr>
        <w:t>负面清单</w:t>
      </w:r>
    </w:p>
    <w:p w14:paraId="69AE7ABE">
      <w:pPr>
        <w:spacing w:line="62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1.有以下情形之一者不能申请：</w:t>
      </w:r>
    </w:p>
    <w:p w14:paraId="210220FE">
      <w:pPr>
        <w:spacing w:line="62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（1）申请机构及法定代表人或实际控制人在培训评价领域有违法违规及失信行为；</w:t>
      </w:r>
    </w:p>
    <w:p w14:paraId="30ECD12E">
      <w:pPr>
        <w:spacing w:line="62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（2）民办非企业等3年内民政部门年审不合格；</w:t>
      </w:r>
    </w:p>
    <w:p w14:paraId="0236D474">
      <w:pPr>
        <w:spacing w:line="62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（3）民办非企业在民政部门非法社会组织名单内；</w:t>
      </w:r>
    </w:p>
    <w:p w14:paraId="565236B5">
      <w:pPr>
        <w:spacing w:line="62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（4）已开展的职业技能培训评价业务被纳入巡视、巡察、审计等专项整治范围，尚未整改完毕的机构。</w:t>
      </w:r>
    </w:p>
    <w:p w14:paraId="670AFF9C">
      <w:pPr>
        <w:spacing w:line="62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2.同一法定代表人或实际控制人的多个机构仅允许择优选择一家机构参加遴选。</w:t>
      </w:r>
    </w:p>
    <w:p w14:paraId="129EFB2D">
      <w:pPr>
        <w:spacing w:line="620" w:lineRule="exact"/>
        <w:ind w:firstLine="640" w:firstLineChars="200"/>
        <w:rPr>
          <w:rFonts w:hint="eastAsia" w:ascii="国标黑体" w:hAnsi="国标黑体" w:eastAsia="国标黑体" w:cs="国标黑体"/>
          <w:color w:val="000000"/>
          <w:sz w:val="32"/>
          <w:szCs w:val="32"/>
        </w:rPr>
      </w:pPr>
      <w:r>
        <w:rPr>
          <w:rFonts w:hint="eastAsia" w:ascii="国标黑体" w:hAnsi="国标黑体" w:eastAsia="国标黑体" w:cs="国标黑体"/>
          <w:color w:val="000000"/>
          <w:sz w:val="32"/>
          <w:szCs w:val="32"/>
        </w:rPr>
        <w:t>三、遴选程序</w:t>
      </w:r>
    </w:p>
    <w:p w14:paraId="65542D46">
      <w:pPr>
        <w:spacing w:line="620" w:lineRule="exact"/>
        <w:ind w:firstLine="643" w:firstLineChars="200"/>
        <w:rPr>
          <w:rFonts w:hint="eastAsia" w:ascii="仿宋_GB2312" w:hAnsi="仿宋_GB2312" w:eastAsia="仿宋_GB2312" w:cs="仿宋_GB2312"/>
          <w:color w:val="000000"/>
          <w:sz w:val="32"/>
          <w:szCs w:val="32"/>
        </w:rPr>
      </w:pPr>
      <w:r>
        <w:rPr>
          <w:rFonts w:hint="eastAsia" w:ascii="楷体_GB2312" w:hAnsi="楷体_GB2312" w:eastAsia="楷体_GB2312" w:cs="楷体_GB2312"/>
          <w:b/>
          <w:bCs/>
          <w:color w:val="000000"/>
          <w:sz w:val="32"/>
          <w:szCs w:val="32"/>
        </w:rPr>
        <w:t>（一）申报。</w:t>
      </w:r>
      <w:r>
        <w:rPr>
          <w:rFonts w:hint="eastAsia" w:ascii="仿宋_GB2312" w:hAnsi="仿宋_GB2312" w:eastAsia="仿宋_GB2312" w:cs="仿宋_GB2312"/>
          <w:color w:val="000000"/>
          <w:sz w:val="32"/>
          <w:szCs w:val="32"/>
        </w:rPr>
        <w:t>申报机构请于202</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10</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8</w:t>
      </w:r>
      <w:r>
        <w:rPr>
          <w:rFonts w:hint="eastAsia" w:ascii="仿宋_GB2312" w:hAnsi="仿宋_GB2312" w:eastAsia="仿宋_GB2312" w:cs="仿宋_GB2312"/>
          <w:color w:val="000000"/>
          <w:sz w:val="32"/>
          <w:szCs w:val="32"/>
        </w:rPr>
        <w:t>日前将书面申请材料（含PDF格式电子文档）提交至</w:t>
      </w:r>
      <w:r>
        <w:rPr>
          <w:rFonts w:hint="eastAsia" w:ascii="仿宋_GB2312" w:hAnsi="仿宋_GB2312" w:eastAsia="仿宋_GB2312" w:cs="仿宋_GB2312"/>
          <w:color w:val="000000"/>
          <w:sz w:val="32"/>
          <w:szCs w:val="32"/>
          <w:lang w:eastAsia="zh-CN"/>
        </w:rPr>
        <w:t>龙岩</w:t>
      </w:r>
      <w:r>
        <w:rPr>
          <w:rFonts w:hint="eastAsia" w:ascii="仿宋_GB2312" w:hAnsi="仿宋_GB2312" w:eastAsia="仿宋_GB2312" w:cs="仿宋_GB2312"/>
          <w:color w:val="000000"/>
          <w:sz w:val="32"/>
          <w:szCs w:val="32"/>
        </w:rPr>
        <w:t>市</w:t>
      </w:r>
      <w:r>
        <w:rPr>
          <w:rFonts w:hint="eastAsia" w:ascii="仿宋_GB2312" w:hAnsi="仿宋_GB2312" w:eastAsia="仿宋_GB2312" w:cs="仿宋_GB2312"/>
          <w:color w:val="000000"/>
          <w:sz w:val="32"/>
          <w:szCs w:val="32"/>
          <w:lang w:eastAsia="zh-CN"/>
        </w:rPr>
        <w:t>医疗保障局基金科</w:t>
      </w:r>
      <w:r>
        <w:rPr>
          <w:rFonts w:hint="eastAsia" w:ascii="仿宋_GB2312" w:hAnsi="仿宋_GB2312" w:eastAsia="仿宋_GB2312" w:cs="仿宋_GB2312"/>
          <w:color w:val="000000"/>
          <w:sz w:val="32"/>
          <w:szCs w:val="32"/>
        </w:rPr>
        <w:t>。备案申请材料清单、要求、承诺书及综合审核表详见附件。</w:t>
      </w:r>
    </w:p>
    <w:p w14:paraId="79DF207E">
      <w:pPr>
        <w:spacing w:line="620" w:lineRule="exact"/>
        <w:ind w:firstLine="643" w:firstLineChars="200"/>
        <w:rPr>
          <w:rFonts w:hint="eastAsia" w:ascii="仿宋_GB2312" w:hAnsi="仿宋_GB2312" w:eastAsia="仿宋_GB2312" w:cs="仿宋_GB2312"/>
          <w:color w:val="000000"/>
          <w:sz w:val="32"/>
          <w:szCs w:val="32"/>
        </w:rPr>
      </w:pPr>
      <w:r>
        <w:rPr>
          <w:rFonts w:hint="eastAsia" w:ascii="楷体_GB2312" w:hAnsi="楷体_GB2312" w:eastAsia="楷体_GB2312" w:cs="楷体_GB2312"/>
          <w:b/>
          <w:bCs/>
          <w:color w:val="000000"/>
          <w:sz w:val="32"/>
          <w:szCs w:val="32"/>
        </w:rPr>
        <w:t>（二）遴选。</w:t>
      </w:r>
      <w:r>
        <w:rPr>
          <w:rFonts w:hint="eastAsia" w:ascii="仿宋_GB2312" w:hAnsi="仿宋_GB2312" w:eastAsia="仿宋_GB2312" w:cs="仿宋_GB2312"/>
          <w:color w:val="000000"/>
          <w:sz w:val="32"/>
          <w:szCs w:val="32"/>
        </w:rPr>
        <w:t>市医保部门组建评审小组，对申请机构进行评审，采取资料审核、现场查看等方式，形成评审意见，择优遴选。</w:t>
      </w:r>
    </w:p>
    <w:p w14:paraId="7027EF71">
      <w:pPr>
        <w:spacing w:line="620" w:lineRule="exact"/>
        <w:ind w:firstLine="643" w:firstLineChars="200"/>
        <w:rPr>
          <w:rFonts w:hint="eastAsia" w:ascii="仿宋_GB2312" w:hAnsi="仿宋_GB2312" w:eastAsia="仿宋_GB2312" w:cs="仿宋_GB2312"/>
          <w:color w:val="000000"/>
          <w:sz w:val="32"/>
          <w:szCs w:val="32"/>
        </w:rPr>
      </w:pPr>
      <w:r>
        <w:rPr>
          <w:rFonts w:hint="eastAsia" w:ascii="楷体_GB2312" w:hAnsi="楷体_GB2312" w:eastAsia="楷体_GB2312" w:cs="楷体_GB2312"/>
          <w:b/>
          <w:bCs/>
          <w:color w:val="000000"/>
          <w:sz w:val="32"/>
          <w:szCs w:val="32"/>
        </w:rPr>
        <w:t>（三）公示。</w:t>
      </w:r>
      <w:r>
        <w:rPr>
          <w:rFonts w:hint="eastAsia" w:ascii="仿宋_GB2312" w:hAnsi="仿宋_GB2312" w:eastAsia="仿宋_GB2312" w:cs="仿宋_GB2312"/>
          <w:color w:val="000000"/>
          <w:sz w:val="32"/>
          <w:szCs w:val="32"/>
        </w:rPr>
        <w:t>由市医保部门向社会公示遴选出的机构名单，公示期不少于5个工作日。</w:t>
      </w:r>
    </w:p>
    <w:p w14:paraId="069749BA">
      <w:pPr>
        <w:spacing w:line="620" w:lineRule="exact"/>
        <w:ind w:firstLine="640" w:firstLineChars="200"/>
        <w:rPr>
          <w:rFonts w:hint="eastAsia" w:ascii="国标黑体" w:hAnsi="国标黑体" w:eastAsia="国标黑体" w:cs="国标黑体"/>
          <w:color w:val="000000"/>
          <w:sz w:val="32"/>
          <w:szCs w:val="32"/>
        </w:rPr>
      </w:pPr>
      <w:r>
        <w:rPr>
          <w:rFonts w:hint="eastAsia" w:ascii="国标黑体" w:hAnsi="国标黑体" w:eastAsia="国标黑体" w:cs="国标黑体"/>
          <w:color w:val="000000"/>
          <w:sz w:val="32"/>
          <w:szCs w:val="32"/>
        </w:rPr>
        <w:t>四、其他</w:t>
      </w:r>
    </w:p>
    <w:p w14:paraId="591A5E1D">
      <w:pPr>
        <w:spacing w:line="620" w:lineRule="exact"/>
        <w:ind w:firstLine="643" w:firstLineChars="200"/>
        <w:rPr>
          <w:rFonts w:hint="eastAsia" w:ascii="仿宋_GB2312" w:hAnsi="仿宋_GB2312" w:eastAsia="仿宋_GB2312" w:cs="仿宋_GB2312"/>
          <w:color w:val="000000"/>
          <w:sz w:val="32"/>
          <w:szCs w:val="32"/>
        </w:rPr>
      </w:pPr>
      <w:r>
        <w:rPr>
          <w:rFonts w:hint="eastAsia" w:ascii="楷体_GB2312" w:hAnsi="楷体_GB2312" w:eastAsia="楷体_GB2312" w:cs="楷体_GB2312"/>
          <w:b/>
          <w:bCs/>
          <w:color w:val="000000"/>
          <w:sz w:val="32"/>
          <w:szCs w:val="32"/>
        </w:rPr>
        <w:t>（一）确保材料真实准确。</w:t>
      </w:r>
      <w:r>
        <w:rPr>
          <w:rFonts w:hint="eastAsia" w:ascii="仿宋_GB2312" w:hAnsi="仿宋_GB2312" w:eastAsia="仿宋_GB2312" w:cs="仿宋_GB2312"/>
          <w:color w:val="000000"/>
          <w:sz w:val="32"/>
          <w:szCs w:val="32"/>
        </w:rPr>
        <w:t>申报机构须如实、完整地提供所有申请材料，并对材料的真实性负责。</w:t>
      </w:r>
    </w:p>
    <w:p w14:paraId="732B7D3A">
      <w:pPr>
        <w:spacing w:line="620" w:lineRule="exact"/>
        <w:ind w:firstLine="643" w:firstLineChars="200"/>
        <w:rPr>
          <w:rFonts w:hint="eastAsia" w:ascii="仿宋_GB2312" w:hAnsi="仿宋_GB2312" w:eastAsia="仿宋_GB2312" w:cs="仿宋_GB2312"/>
          <w:color w:val="000000"/>
          <w:sz w:val="32"/>
          <w:szCs w:val="32"/>
        </w:rPr>
      </w:pPr>
      <w:r>
        <w:rPr>
          <w:rFonts w:hint="eastAsia" w:ascii="楷体_GB2312" w:hAnsi="楷体_GB2312" w:eastAsia="楷体_GB2312" w:cs="楷体_GB2312"/>
          <w:b/>
          <w:bCs/>
          <w:color w:val="000000"/>
          <w:sz w:val="32"/>
          <w:szCs w:val="32"/>
        </w:rPr>
        <w:t>（二）严格遵守工作纪律。</w:t>
      </w:r>
      <w:r>
        <w:rPr>
          <w:rFonts w:hint="eastAsia" w:ascii="仿宋_GB2312" w:hAnsi="仿宋_GB2312" w:eastAsia="仿宋_GB2312" w:cs="仿宋_GB2312"/>
          <w:color w:val="000000"/>
          <w:sz w:val="32"/>
          <w:szCs w:val="32"/>
        </w:rPr>
        <w:t>参与遴选工作的人员应恪守纪律，公正履职，保障遴选过程规范透明。</w:t>
      </w:r>
    </w:p>
    <w:p w14:paraId="76AA2A3E">
      <w:pPr>
        <w:spacing w:line="620" w:lineRule="exact"/>
        <w:ind w:firstLine="643" w:firstLineChars="200"/>
        <w:rPr>
          <w:rFonts w:hint="eastAsia" w:ascii="仿宋_GB2312" w:hAnsi="仿宋_GB2312" w:eastAsia="仿宋_GB2312" w:cs="仿宋_GB2312"/>
          <w:color w:val="000000"/>
          <w:sz w:val="32"/>
          <w:szCs w:val="32"/>
        </w:rPr>
      </w:pPr>
      <w:r>
        <w:rPr>
          <w:rFonts w:hint="eastAsia" w:ascii="楷体_GB2312" w:hAnsi="楷体_GB2312" w:eastAsia="楷体_GB2312" w:cs="楷体_GB2312"/>
          <w:b/>
          <w:bCs/>
          <w:color w:val="000000"/>
          <w:sz w:val="32"/>
          <w:szCs w:val="32"/>
        </w:rPr>
        <w:t>（三）履行培训机构职责。</w:t>
      </w:r>
      <w:r>
        <w:rPr>
          <w:rFonts w:hint="eastAsia" w:ascii="仿宋_GB2312" w:hAnsi="仿宋_GB2312" w:eastAsia="仿宋_GB2312" w:cs="仿宋_GB2312"/>
          <w:color w:val="000000"/>
          <w:sz w:val="32"/>
          <w:szCs w:val="32"/>
        </w:rPr>
        <w:t>培训机构应自觉接受医保部门的工作指导与质量监管，严格执行培训方案、开展培训考核，保障评估培训质量。</w:t>
      </w:r>
    </w:p>
    <w:p w14:paraId="5334BA48">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color w:val="000000"/>
          <w:sz w:val="32"/>
          <w:szCs w:val="32"/>
        </w:rPr>
      </w:pPr>
    </w:p>
    <w:p w14:paraId="5B97757A">
      <w:pPr>
        <w:keepNext w:val="0"/>
        <w:keepLines w:val="0"/>
        <w:pageBreakBefore w:val="0"/>
        <w:widowControl w:val="0"/>
        <w:kinsoku/>
        <w:wordWrap/>
        <w:overflowPunct/>
        <w:topLinePunct w:val="0"/>
        <w:autoSpaceDE/>
        <w:autoSpaceDN/>
        <w:bidi w:val="0"/>
        <w:adjustRightInd/>
        <w:snapToGrid/>
        <w:ind w:left="1918" w:leftChars="304" w:hanging="1280" w:hangingChars="4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附件：1.龙岩市长期护理保险失能等级评估人员培训机构备案申请材料清单及对应说明</w:t>
      </w:r>
    </w:p>
    <w:p w14:paraId="4B7BC7EB">
      <w:pPr>
        <w:keepNext w:val="0"/>
        <w:keepLines w:val="0"/>
        <w:pageBreakBefore w:val="0"/>
        <w:widowControl w:val="0"/>
        <w:kinsoku/>
        <w:wordWrap/>
        <w:overflowPunct/>
        <w:topLinePunct w:val="0"/>
        <w:autoSpaceDE/>
        <w:autoSpaceDN/>
        <w:bidi w:val="0"/>
        <w:adjustRightInd/>
        <w:snapToGrid/>
        <w:ind w:left="1916" w:leftChars="760" w:hanging="320" w:hangingChars="1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2.龙岩市长期护理保险失能等级评估人员培训机构备案申请表</w:t>
      </w:r>
    </w:p>
    <w:p w14:paraId="6C5F45CC">
      <w:pPr>
        <w:keepNext w:val="0"/>
        <w:keepLines w:val="0"/>
        <w:pageBreakBefore w:val="0"/>
        <w:widowControl w:val="0"/>
        <w:kinsoku/>
        <w:wordWrap/>
        <w:overflowPunct/>
        <w:topLinePunct w:val="0"/>
        <w:autoSpaceDE/>
        <w:autoSpaceDN/>
        <w:bidi w:val="0"/>
        <w:adjustRightInd/>
        <w:snapToGrid/>
        <w:ind w:firstLine="1600" w:firstLineChars="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3.长期护理保险失能等级评估培训机构承诺书</w:t>
      </w:r>
    </w:p>
    <w:p w14:paraId="41F648DD">
      <w:pPr>
        <w:keepNext w:val="0"/>
        <w:keepLines w:val="0"/>
        <w:pageBreakBefore w:val="0"/>
        <w:widowControl w:val="0"/>
        <w:kinsoku/>
        <w:wordWrap/>
        <w:overflowPunct/>
        <w:topLinePunct w:val="0"/>
        <w:autoSpaceDE/>
        <w:autoSpaceDN/>
        <w:bidi w:val="0"/>
        <w:adjustRightInd/>
        <w:snapToGrid/>
        <w:ind w:left="1916" w:leftChars="760" w:hanging="320" w:hangingChars="1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4.龙岩市长期护理保险失能等级评估人员培训机构综合审核表</w:t>
      </w:r>
    </w:p>
    <w:p w14:paraId="68E54FED">
      <w:pPr>
        <w:spacing w:line="620" w:lineRule="exact"/>
        <w:ind w:firstLine="640" w:firstLineChars="200"/>
        <w:rPr>
          <w:rFonts w:hint="eastAsia" w:ascii="仿宋_GB2312" w:hAnsi="仿宋_GB2312" w:eastAsia="仿宋_GB2312" w:cs="仿宋_GB2312"/>
          <w:color w:val="000000"/>
          <w:sz w:val="32"/>
          <w:szCs w:val="32"/>
        </w:rPr>
      </w:pPr>
    </w:p>
    <w:p w14:paraId="1564ACCA">
      <w:pPr>
        <w:spacing w:line="62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　</w:t>
      </w:r>
      <w:r>
        <w:rPr>
          <w:rFonts w:hint="eastAsia" w:ascii="仿宋_GB2312" w:hAnsi="仿宋_GB2312" w:eastAsia="仿宋_GB2312" w:cs="仿宋_GB2312"/>
          <w:color w:val="000000"/>
          <w:sz w:val="32"/>
          <w:szCs w:val="32"/>
          <w:lang w:eastAsia="zh-CN"/>
        </w:rPr>
        <w:t>龙岩</w:t>
      </w:r>
      <w:r>
        <w:rPr>
          <w:rFonts w:hint="eastAsia" w:ascii="仿宋_GB2312" w:hAnsi="仿宋_GB2312" w:eastAsia="仿宋_GB2312" w:cs="仿宋_GB2312"/>
          <w:color w:val="000000"/>
          <w:sz w:val="32"/>
          <w:szCs w:val="32"/>
        </w:rPr>
        <w:t>市医疗保障</w:t>
      </w:r>
      <w:r>
        <w:rPr>
          <w:rFonts w:hint="eastAsia" w:ascii="仿宋_GB2312" w:hAnsi="仿宋_GB2312" w:eastAsia="仿宋_GB2312" w:cs="仿宋_GB2312"/>
          <w:color w:val="000000"/>
          <w:sz w:val="32"/>
          <w:szCs w:val="32"/>
          <w:lang w:eastAsia="zh-CN"/>
        </w:rPr>
        <w:t>局</w:t>
      </w:r>
      <w:r>
        <w:rPr>
          <w:rFonts w:hint="eastAsia" w:ascii="仿宋_GB2312" w:hAnsi="仿宋_GB2312" w:eastAsia="仿宋_GB2312" w:cs="仿宋_GB2312"/>
          <w:color w:val="000000"/>
          <w:sz w:val="32"/>
          <w:szCs w:val="32"/>
        </w:rPr>
        <w:t>       </w:t>
      </w:r>
    </w:p>
    <w:p w14:paraId="78AB3571">
      <w:pPr>
        <w:spacing w:line="620" w:lineRule="exact"/>
        <w:ind w:firstLine="5440" w:firstLineChars="17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 xml:space="preserve">21 </w:t>
      </w:r>
      <w:r>
        <w:rPr>
          <w:rFonts w:hint="eastAsia" w:ascii="仿宋_GB2312" w:hAnsi="仿宋_GB2312" w:eastAsia="仿宋_GB2312" w:cs="仿宋_GB2312"/>
          <w:color w:val="000000"/>
          <w:sz w:val="32"/>
          <w:szCs w:val="32"/>
        </w:rPr>
        <w:t>日      </w:t>
      </w:r>
    </w:p>
    <w:tbl>
      <w:tblPr>
        <w:tblStyle w:val="9"/>
        <w:tblpPr w:leftFromText="180" w:rightFromText="180" w:horzAnchor="margin" w:tblpXSpec="center" w:tblpYSpec="bottom"/>
        <w:tblOverlap w:val="never"/>
        <w:tblW w:w="0" w:type="auto"/>
        <w:tblInd w:w="0" w:type="dxa"/>
        <w:tblLayout w:type="fixed"/>
        <w:tblCellMar>
          <w:top w:w="0" w:type="dxa"/>
          <w:left w:w="0" w:type="dxa"/>
          <w:bottom w:w="0" w:type="dxa"/>
          <w:right w:w="0" w:type="dxa"/>
        </w:tblCellMar>
      </w:tblPr>
      <w:tblGrid>
        <w:gridCol w:w="4821"/>
        <w:gridCol w:w="3821"/>
      </w:tblGrid>
      <w:tr w14:paraId="1FE1535D">
        <w:tblPrEx>
          <w:tblCellMar>
            <w:top w:w="0" w:type="dxa"/>
            <w:left w:w="0" w:type="dxa"/>
            <w:bottom w:w="0" w:type="dxa"/>
            <w:right w:w="0" w:type="dxa"/>
          </w:tblCellMar>
        </w:tblPrEx>
        <w:trPr>
          <w:trHeight w:val="567" w:hRule="atLeast"/>
        </w:trPr>
        <w:tc>
          <w:tcPr>
            <w:tcW w:w="8642" w:type="dxa"/>
            <w:gridSpan w:val="2"/>
            <w:tcBorders>
              <w:top w:val="nil"/>
              <w:left w:val="nil"/>
              <w:bottom w:val="single" w:color="auto" w:sz="12" w:space="0"/>
              <w:right w:val="nil"/>
            </w:tcBorders>
            <w:noWrap w:val="0"/>
            <w:vAlign w:val="top"/>
          </w:tcPr>
          <w:p w14:paraId="5C51CB13">
            <w:pPr>
              <w:keepNext w:val="0"/>
              <w:keepLines w:val="0"/>
              <w:pageBreakBefore w:val="0"/>
              <w:widowControl w:val="0"/>
              <w:kinsoku/>
              <w:overflowPunct/>
              <w:topLinePunct w:val="0"/>
              <w:autoSpaceDE/>
              <w:autoSpaceDN/>
              <w:bidi w:val="0"/>
              <w:adjustRightInd/>
              <w:snapToGrid/>
              <w:spacing w:after="100" w:afterAutospacing="0" w:line="600" w:lineRule="exact"/>
              <w:ind w:right="136" w:rightChars="65" w:firstLine="280" w:firstLineChars="100"/>
              <w:textAlignment w:val="bottom"/>
              <w:outlineLvl w:val="9"/>
              <w:rPr>
                <w:rFonts w:hint="eastAsia" w:ascii="仿宋" w:hAnsi="仿宋" w:cs="仿宋_GB2312"/>
                <w:sz w:val="28"/>
                <w:szCs w:val="28"/>
              </w:rPr>
            </w:pPr>
            <w:r>
              <w:rPr>
                <w:rFonts w:hint="eastAsia" w:ascii="仿宋_GB2312" w:hAnsi="仿宋_GB2312" w:eastAsia="仿宋_GB2312" w:cs="仿宋_GB2312"/>
                <w:sz w:val="28"/>
                <w:szCs w:val="28"/>
              </w:rPr>
              <w:t>信息公开类型：</w:t>
            </w:r>
            <w:r>
              <w:rPr>
                <w:rFonts w:hint="eastAsia" w:ascii="仿宋_GB2312" w:hAnsi="仿宋_GB2312" w:eastAsia="仿宋_GB2312" w:cs="仿宋_GB2312"/>
                <w:sz w:val="28"/>
                <w:szCs w:val="28"/>
                <w:highlight w:val="none"/>
                <w:lang w:eastAsia="zh-CN"/>
              </w:rPr>
              <w:t>主动</w:t>
            </w:r>
            <w:r>
              <w:rPr>
                <w:rFonts w:hint="eastAsia" w:ascii="仿宋_GB2312" w:hAnsi="仿宋_GB2312" w:eastAsia="仿宋_GB2312" w:cs="仿宋_GB2312"/>
                <w:sz w:val="28"/>
                <w:szCs w:val="28"/>
                <w:highlight w:val="none"/>
              </w:rPr>
              <w:t>公开</w:t>
            </w:r>
          </w:p>
        </w:tc>
      </w:tr>
      <w:tr w14:paraId="1461F3AD">
        <w:tblPrEx>
          <w:tblCellMar>
            <w:top w:w="0" w:type="dxa"/>
            <w:left w:w="0" w:type="dxa"/>
            <w:bottom w:w="0" w:type="dxa"/>
            <w:right w:w="0" w:type="dxa"/>
          </w:tblCellMar>
        </w:tblPrEx>
        <w:trPr>
          <w:trHeight w:val="510" w:hRule="atLeast"/>
        </w:trPr>
        <w:tc>
          <w:tcPr>
            <w:tcW w:w="4821" w:type="dxa"/>
            <w:tcBorders>
              <w:top w:val="single" w:color="auto" w:sz="8" w:space="0"/>
              <w:left w:val="nil"/>
              <w:bottom w:val="single" w:color="auto" w:sz="12" w:space="0"/>
              <w:right w:val="nil"/>
            </w:tcBorders>
            <w:noWrap w:val="0"/>
            <w:vAlign w:val="bottom"/>
          </w:tcPr>
          <w:p w14:paraId="04BA7201">
            <w:pPr>
              <w:keepNext w:val="0"/>
              <w:keepLines w:val="0"/>
              <w:pageBreakBefore w:val="0"/>
              <w:widowControl w:val="0"/>
              <w:kinsoku/>
              <w:overflowPunct/>
              <w:topLinePunct w:val="0"/>
              <w:autoSpaceDE/>
              <w:autoSpaceDN/>
              <w:bidi w:val="0"/>
              <w:adjustRightInd/>
              <w:snapToGrid/>
              <w:spacing w:after="100" w:afterAutospacing="0" w:line="600" w:lineRule="exact"/>
              <w:ind w:right="136" w:rightChars="65" w:firstLine="280" w:firstLineChars="100"/>
              <w:outlineLvl w:val="9"/>
              <w:rPr>
                <w:rFonts w:hint="eastAsia" w:ascii="仿宋_GB2312" w:hAnsi="仿宋_GB2312" w:eastAsia="仿宋_GB2312" w:cs="仿宋_GB2312"/>
                <w:sz w:val="28"/>
              </w:rPr>
            </w:pPr>
            <w:r>
              <w:rPr>
                <w:rFonts w:hint="eastAsia" w:ascii="仿宋_GB2312" w:hAnsi="仿宋_GB2312" w:eastAsia="仿宋_GB2312" w:cs="仿宋_GB2312"/>
                <w:sz w:val="28"/>
                <w:lang w:eastAsia="zh-CN"/>
              </w:rPr>
              <w:t>龙岩市</w:t>
            </w:r>
            <w:r>
              <w:rPr>
                <w:rFonts w:hint="eastAsia" w:ascii="仿宋_GB2312" w:hAnsi="仿宋_GB2312" w:eastAsia="仿宋_GB2312" w:cs="仿宋_GB2312"/>
                <w:sz w:val="28"/>
              </w:rPr>
              <w:t>医疗保障局</w:t>
            </w:r>
          </w:p>
        </w:tc>
        <w:tc>
          <w:tcPr>
            <w:tcW w:w="3821" w:type="dxa"/>
            <w:tcBorders>
              <w:top w:val="single" w:color="auto" w:sz="8" w:space="0"/>
              <w:left w:val="nil"/>
              <w:bottom w:val="single" w:color="auto" w:sz="12" w:space="0"/>
              <w:right w:val="nil"/>
            </w:tcBorders>
            <w:noWrap w:val="0"/>
            <w:vAlign w:val="center"/>
          </w:tcPr>
          <w:p w14:paraId="03733AA5">
            <w:pPr>
              <w:keepNext w:val="0"/>
              <w:keepLines w:val="0"/>
              <w:pageBreakBefore w:val="0"/>
              <w:widowControl w:val="0"/>
              <w:kinsoku/>
              <w:wordWrap w:val="0"/>
              <w:overflowPunct/>
              <w:topLinePunct w:val="0"/>
              <w:autoSpaceDE/>
              <w:autoSpaceDN/>
              <w:bidi w:val="0"/>
              <w:adjustRightInd/>
              <w:snapToGrid/>
              <w:spacing w:after="100" w:afterAutospacing="0" w:line="600" w:lineRule="exact"/>
              <w:ind w:right="136" w:rightChars="65"/>
              <w:jc w:val="both"/>
              <w:textAlignment w:val="bottom"/>
              <w:outlineLvl w:val="9"/>
              <w:rPr>
                <w:rFonts w:hint="eastAsia" w:ascii="仿宋_GB2312" w:hAnsi="仿宋_GB2312" w:eastAsia="仿宋_GB2312" w:cs="仿宋_GB2312"/>
              </w:rPr>
            </w:pPr>
            <w:r>
              <w:rPr>
                <w:rFonts w:hint="eastAsia" w:ascii="仿宋_GB2312" w:hAnsi="仿宋_GB2312" w:eastAsia="仿宋_GB2312" w:cs="仿宋_GB2312"/>
                <w:sz w:val="28"/>
                <w:lang w:val="en-US" w:eastAsia="zh-CN"/>
              </w:rPr>
              <w:t>2026</w:t>
            </w:r>
            <w:r>
              <w:rPr>
                <w:rFonts w:hint="eastAsia" w:ascii="仿宋_GB2312" w:hAnsi="仿宋_GB2312" w:eastAsia="仿宋_GB2312" w:cs="仿宋_GB2312"/>
                <w:sz w:val="28"/>
              </w:rPr>
              <w:t>年</w:t>
            </w:r>
            <w:r>
              <w:rPr>
                <w:rFonts w:hint="eastAsia" w:ascii="仿宋_GB2312" w:hAnsi="仿宋_GB2312" w:eastAsia="仿宋_GB2312" w:cs="仿宋_GB2312"/>
                <w:sz w:val="28"/>
                <w:lang w:val="en-US" w:eastAsia="zh-CN"/>
              </w:rPr>
              <w:t>9</w:t>
            </w:r>
            <w:r>
              <w:rPr>
                <w:rFonts w:hint="eastAsia" w:ascii="仿宋_GB2312" w:hAnsi="仿宋_GB2312" w:eastAsia="仿宋_GB2312" w:cs="仿宋_GB2312"/>
                <w:sz w:val="28"/>
              </w:rPr>
              <w:t>月</w:t>
            </w:r>
            <w:r>
              <w:rPr>
                <w:rFonts w:hint="eastAsia" w:ascii="仿宋_GB2312" w:hAnsi="仿宋_GB2312" w:eastAsia="仿宋_GB2312" w:cs="仿宋_GB2312"/>
                <w:sz w:val="28"/>
                <w:lang w:val="en-US" w:eastAsia="zh-CN"/>
              </w:rPr>
              <w:t xml:space="preserve"> 21</w:t>
            </w:r>
            <w:r>
              <w:rPr>
                <w:rFonts w:hint="eastAsia" w:ascii="仿宋_GB2312" w:hAnsi="仿宋_GB2312" w:eastAsia="仿宋_GB2312" w:cs="仿宋_GB2312"/>
                <w:sz w:val="28"/>
              </w:rPr>
              <w:t>日印发</w:t>
            </w:r>
            <w:r>
              <w:rPr>
                <w:rFonts w:hint="eastAsia" w:ascii="仿宋_GB2312" w:hAnsi="仿宋_GB2312" w:eastAsia="仿宋_GB2312" w:cs="仿宋_GB2312"/>
              </w:rPr>
              <w:t xml:space="preserve"> </w:t>
            </w:r>
          </w:p>
        </w:tc>
      </w:tr>
    </w:tbl>
    <w:p w14:paraId="14C96AD4">
      <w:pPr>
        <w:spacing w:line="620" w:lineRule="exact"/>
        <w:ind w:firstLine="640" w:firstLineChars="200"/>
        <w:jc w:val="right"/>
        <w:rPr>
          <w:rFonts w:hint="eastAsia" w:ascii="仿宋" w:hAnsi="仿宋" w:eastAsia="仿宋" w:cs="Times New Roman"/>
          <w:color w:val="000000"/>
          <w:sz w:val="32"/>
          <w:szCs w:val="32"/>
        </w:rPr>
      </w:pPr>
    </w:p>
    <w:sectPr>
      <w:footerReference r:id="rId3" w:type="default"/>
      <w:pgSz w:w="11906" w:h="16838"/>
      <w:pgMar w:top="1701" w:right="1474" w:bottom="1587"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00"/>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国标黑体">
    <w:panose1 w:val="020005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国标仿宋">
    <w:panose1 w:val="02000500000000000000"/>
    <w:charset w:val="86"/>
    <w:family w:val="auto"/>
    <w:pitch w:val="default"/>
    <w:sig w:usb0="A00002BF" w:usb1="38C77CFA" w:usb2="00000016"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0FDE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39BB7B">
                          <w:pPr>
                            <w:pStyle w:val="2"/>
                          </w:pPr>
                          <w:r>
                            <w:rPr>
                              <w:rFonts w:hint="eastAsia" w:ascii="国标仿宋" w:hAnsi="国标仿宋" w:eastAsia="国标仿宋" w:cs="国标仿宋"/>
                              <w:sz w:val="28"/>
                              <w:szCs w:val="28"/>
                            </w:rPr>
                            <w:fldChar w:fldCharType="begin"/>
                          </w:r>
                          <w:r>
                            <w:rPr>
                              <w:rFonts w:hint="eastAsia" w:ascii="国标仿宋" w:hAnsi="国标仿宋" w:eastAsia="国标仿宋" w:cs="国标仿宋"/>
                              <w:sz w:val="28"/>
                              <w:szCs w:val="28"/>
                            </w:rPr>
                            <w:instrText xml:space="preserve"> PAGE  \* MERGEFORMAT </w:instrText>
                          </w:r>
                          <w:r>
                            <w:rPr>
                              <w:rFonts w:hint="eastAsia" w:ascii="国标仿宋" w:hAnsi="国标仿宋" w:eastAsia="国标仿宋" w:cs="国标仿宋"/>
                              <w:sz w:val="28"/>
                              <w:szCs w:val="28"/>
                            </w:rPr>
                            <w:fldChar w:fldCharType="separate"/>
                          </w:r>
                          <w:r>
                            <w:rPr>
                              <w:rFonts w:hint="eastAsia" w:ascii="国标仿宋" w:hAnsi="国标仿宋" w:eastAsia="国标仿宋" w:cs="国标仿宋"/>
                              <w:sz w:val="28"/>
                              <w:szCs w:val="28"/>
                            </w:rPr>
                            <w:t>1</w:t>
                          </w:r>
                          <w:r>
                            <w:rPr>
                              <w:rFonts w:hint="eastAsia" w:ascii="国标仿宋" w:hAnsi="国标仿宋" w:eastAsia="国标仿宋" w:cs="国标仿宋"/>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739BB7B">
                    <w:pPr>
                      <w:pStyle w:val="2"/>
                    </w:pPr>
                    <w:r>
                      <w:rPr>
                        <w:rFonts w:hint="eastAsia" w:ascii="国标仿宋" w:hAnsi="国标仿宋" w:eastAsia="国标仿宋" w:cs="国标仿宋"/>
                        <w:sz w:val="28"/>
                        <w:szCs w:val="28"/>
                      </w:rPr>
                      <w:fldChar w:fldCharType="begin"/>
                    </w:r>
                    <w:r>
                      <w:rPr>
                        <w:rFonts w:hint="eastAsia" w:ascii="国标仿宋" w:hAnsi="国标仿宋" w:eastAsia="国标仿宋" w:cs="国标仿宋"/>
                        <w:sz w:val="28"/>
                        <w:szCs w:val="28"/>
                      </w:rPr>
                      <w:instrText xml:space="preserve"> PAGE  \* MERGEFORMAT </w:instrText>
                    </w:r>
                    <w:r>
                      <w:rPr>
                        <w:rFonts w:hint="eastAsia" w:ascii="国标仿宋" w:hAnsi="国标仿宋" w:eastAsia="国标仿宋" w:cs="国标仿宋"/>
                        <w:sz w:val="28"/>
                        <w:szCs w:val="28"/>
                      </w:rPr>
                      <w:fldChar w:fldCharType="separate"/>
                    </w:r>
                    <w:r>
                      <w:rPr>
                        <w:rFonts w:hint="eastAsia" w:ascii="国标仿宋" w:hAnsi="国标仿宋" w:eastAsia="国标仿宋" w:cs="国标仿宋"/>
                        <w:sz w:val="28"/>
                        <w:szCs w:val="28"/>
                      </w:rPr>
                      <w:t>1</w:t>
                    </w:r>
                    <w:r>
                      <w:rPr>
                        <w:rFonts w:hint="eastAsia" w:ascii="国标仿宋" w:hAnsi="国标仿宋" w:eastAsia="国标仿宋" w:cs="国标仿宋"/>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EFBFF0"/>
    <w:rsid w:val="1CC701D3"/>
    <w:rsid w:val="277DD4F4"/>
    <w:rsid w:val="32B90571"/>
    <w:rsid w:val="3F9F3B59"/>
    <w:rsid w:val="5B3782BC"/>
    <w:rsid w:val="5E9FA6BA"/>
    <w:rsid w:val="5F3DB043"/>
    <w:rsid w:val="79EFBFF0"/>
    <w:rsid w:val="7AD91E67"/>
    <w:rsid w:val="7BBDBAFE"/>
    <w:rsid w:val="7F3476C9"/>
    <w:rsid w:val="7F4D8D34"/>
    <w:rsid w:val="7FF798AF"/>
    <w:rsid w:val="9EAB0ECD"/>
    <w:rsid w:val="B7556C8F"/>
    <w:rsid w:val="BB753CEF"/>
    <w:rsid w:val="BEFF57D0"/>
    <w:rsid w:val="CFCB3F1F"/>
    <w:rsid w:val="DAB991C2"/>
    <w:rsid w:val="DFFFA3DA"/>
    <w:rsid w:val="E227801C"/>
    <w:rsid w:val="F755F5DD"/>
    <w:rsid w:val="FF7BE01A"/>
    <w:rsid w:val="FFF0696E"/>
    <w:rsid w:val="FFFFDC1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keepNext/>
      <w:keepLines/>
      <w:spacing w:before="200" w:after="200"/>
      <w:ind w:firstLine="200"/>
      <w:jc w:val="center"/>
      <w:outlineLvl w:val="0"/>
    </w:pPr>
    <w:rPr>
      <w:rFonts w:eastAsia="华文中宋"/>
      <w:b/>
      <w:bCs/>
      <w:kern w:val="44"/>
      <w:sz w:val="36"/>
      <w:szCs w:val="44"/>
    </w:rPr>
  </w:style>
  <w:style w:type="paragraph" w:styleId="5">
    <w:name w:val="heading 3"/>
    <w:next w:val="1"/>
    <w:unhideWhenUsed/>
    <w:qFormat/>
    <w:uiPriority w:val="0"/>
    <w:pPr>
      <w:widowControl w:val="0"/>
      <w:spacing w:before="100" w:beforeAutospacing="1" w:after="100" w:afterAutospacing="1"/>
      <w:jc w:val="left"/>
      <w:outlineLvl w:val="2"/>
    </w:pPr>
    <w:rPr>
      <w:rFonts w:hint="eastAsia" w:ascii="宋体" w:hAnsi="宋体" w:eastAsia="宋体" w:cs="宋体"/>
      <w:b/>
      <w:bCs/>
      <w:color w:val="000000"/>
      <w:kern w:val="0"/>
      <w:sz w:val="27"/>
      <w:szCs w:val="27"/>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footer"/>
    <w:basedOn w:val="1"/>
    <w:next w:val="3"/>
    <w:qFormat/>
    <w:uiPriority w:val="0"/>
    <w:pPr>
      <w:tabs>
        <w:tab w:val="center" w:pos="4153"/>
        <w:tab w:val="right" w:pos="8306"/>
      </w:tabs>
      <w:snapToGrid w:val="0"/>
      <w:jc w:val="left"/>
    </w:pPr>
    <w:rPr>
      <w:sz w:val="18"/>
    </w:rPr>
  </w:style>
  <w:style w:type="paragraph" w:styleId="3">
    <w:name w:val="index 5"/>
    <w:basedOn w:val="1"/>
    <w:next w:val="1"/>
    <w:unhideWhenUsed/>
    <w:qFormat/>
    <w:uiPriority w:val="99"/>
    <w:pPr>
      <w:ind w:left="1680"/>
    </w:p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8">
    <w:name w:val="Body Text First Indent"/>
    <w:next w:val="4"/>
    <w:qFormat/>
    <w:uiPriority w:val="0"/>
    <w:pPr>
      <w:ind w:firstLine="632" w:firstLineChars="200"/>
    </w:pPr>
    <w:rPr>
      <w:rFonts w:ascii="仿宋" w:hAnsi="仿宋" w:eastAsia="仿宋" w:cs="Times New Roman"/>
      <w:sz w:val="32"/>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32</TotalTime>
  <ScaleCrop>false</ScaleCrop>
  <LinksUpToDate>false</LinksUpToDate>
  <CharactersWithSpaces>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2026-05-24T19:25:00Z</dcterms:created>
  <dc:creator>Admin</dc:creator>
  <cp:lastModifiedBy>Admin</cp:lastModifiedBy>
  <cp:lastPrinted>2026-09-23T17:34:00Z</cp:lastPrinted>
  <dcterms:modified xsi:type="dcterms:W3CDTF">2026-09-23T16:55:44Z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FE7555D81F78BEB27CDBB16A66D65C84_43</vt:lpwstr>
  </property>
</Properties>
</file>