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C10F2A26">
      <w:pPr>
        <w:spacing w:before="101" w:line="230" w:lineRule="auto"/>
        <w:rPr>
          <w:rFonts w:hint="eastAsia" w:ascii="国标黑体" w:hAnsi="国标黑体" w:eastAsia="国标黑体" w:cs="国标黑体"/>
          <w:sz w:val="32"/>
          <w:szCs w:val="32"/>
        </w:rPr>
      </w:pPr>
      <w:r>
        <w:rPr>
          <w:rFonts w:hint="eastAsia" w:ascii="国标黑体" w:hAnsi="国标黑体" w:eastAsia="国标黑体" w:cs="国标黑体"/>
          <w:spacing w:val="24"/>
          <w:sz w:val="32"/>
          <w:szCs w:val="32"/>
        </w:rPr>
        <w:t>附件4</w:t>
      </w:r>
    </w:p>
    <w:p w14:paraId="FA382518">
      <w:pPr>
        <w:spacing w:before="222" w:line="592" w:lineRule="exact"/>
        <w:ind w:left="1376"/>
        <w:outlineLvl w:val="2"/>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22"/>
          <w:position w:val="2"/>
          <w:sz w:val="44"/>
          <w:szCs w:val="44"/>
          <w:lang w:eastAsia="zh-CN"/>
        </w:rPr>
        <w:t>龙岩市</w:t>
      </w:r>
      <w:r>
        <w:rPr>
          <w:rFonts w:hint="eastAsia" w:ascii="方正小标宋简体" w:hAnsi="方正小标宋简体" w:eastAsia="方正小标宋简体" w:cs="方正小标宋简体"/>
          <w:b/>
          <w:bCs/>
          <w:spacing w:val="22"/>
          <w:position w:val="2"/>
          <w:sz w:val="44"/>
          <w:szCs w:val="44"/>
        </w:rPr>
        <w:t>长期护理保险失能等级评估人员培训机构综合审核表</w:t>
      </w:r>
    </w:p>
    <w:p w14:paraId="07D125E9">
      <w:pPr>
        <w:spacing w:before="93" w:line="212" w:lineRule="auto"/>
        <w:ind w:firstLine="318" w:firstLineChars="100"/>
        <w:jc w:val="left"/>
        <w:rPr>
          <w:rFonts w:hint="eastAsia" w:ascii="仿宋_GB2312" w:hAnsi="仿宋_GB2312" w:eastAsia="仿宋_GB2312" w:cs="仿宋_GB2312"/>
          <w:spacing w:val="-1"/>
          <w:sz w:val="32"/>
          <w:szCs w:val="32"/>
        </w:rPr>
      </w:pPr>
    </w:p>
    <w:p w14:paraId="6424A60C">
      <w:pPr>
        <w:spacing w:before="93" w:line="212" w:lineRule="auto"/>
        <w:ind w:firstLine="318" w:firstLineChars="100"/>
        <w:jc w:val="left"/>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 xml:space="preserve">申请机构名称： </w:t>
      </w:r>
      <w:r>
        <w:rPr>
          <w:rFonts w:hint="eastAsia" w:ascii="仿宋_GB2312" w:hAnsi="仿宋_GB2312" w:eastAsia="仿宋_GB2312" w:cs="仿宋_GB2312"/>
          <w:spacing w:val="-2"/>
          <w:sz w:val="32"/>
          <w:szCs w:val="32"/>
          <w:lang w:val="en-US" w:eastAsia="zh-CN"/>
        </w:rPr>
        <w:t xml:space="preserve">              </w:t>
      </w:r>
      <w:r>
        <w:rPr>
          <w:rFonts w:hint="eastAsia" w:ascii="仿宋_GB2312" w:hAnsi="仿宋_GB2312" w:eastAsia="仿宋_GB2312" w:cs="仿宋_GB2312"/>
          <w:spacing w:val="-2"/>
          <w:sz w:val="32"/>
          <w:szCs w:val="32"/>
        </w:rPr>
        <w:t xml:space="preserve">        </w:t>
      </w:r>
      <w:r>
        <w:rPr>
          <w:rFonts w:hint="default" w:ascii="仿宋_GB2312" w:hAnsi="仿宋_GB2312" w:eastAsia="仿宋_GB2312" w:cs="仿宋_GB2312"/>
          <w:spacing w:val="-2"/>
          <w:sz w:val="32"/>
          <w:szCs w:val="32"/>
          <w:lang w:val="en-US"/>
        </w:rPr>
        <w:t xml:space="preserve">    </w:t>
      </w:r>
      <w:r>
        <w:rPr>
          <w:rFonts w:hint="eastAsia" w:ascii="仿宋_GB2312" w:hAnsi="仿宋_GB2312" w:eastAsia="仿宋_GB2312" w:cs="仿宋_GB2312"/>
          <w:spacing w:val="-2"/>
          <w:sz w:val="32"/>
          <w:szCs w:val="32"/>
        </w:rPr>
        <w:t xml:space="preserve"> </w:t>
      </w:r>
      <w:r>
        <w:rPr>
          <w:rFonts w:hint="default" w:ascii="仿宋_GB2312" w:hAnsi="仿宋_GB2312" w:eastAsia="仿宋_GB2312" w:cs="仿宋_GB2312"/>
          <w:spacing w:val="-2"/>
          <w:sz w:val="32"/>
          <w:szCs w:val="32"/>
          <w:lang w:val="en-US"/>
        </w:rPr>
        <w:t xml:space="preserve">             </w:t>
      </w:r>
      <w:r>
        <w:rPr>
          <w:rFonts w:hint="eastAsia" w:ascii="仿宋_GB2312" w:hAnsi="仿宋_GB2312" w:eastAsia="仿宋_GB2312" w:cs="仿宋_GB2312"/>
          <w:spacing w:val="-2"/>
          <w:sz w:val="32"/>
          <w:szCs w:val="32"/>
        </w:rPr>
        <w:t>评估时间：</w:t>
      </w:r>
      <w:r>
        <w:rPr>
          <w:rFonts w:hint="eastAsia" w:ascii="仿宋_GB2312" w:hAnsi="仿宋_GB2312" w:eastAsia="仿宋_GB2312" w:cs="仿宋_GB2312"/>
          <w:spacing w:val="-2"/>
          <w:sz w:val="32"/>
          <w:szCs w:val="32"/>
          <w:lang w:val="en-US" w:eastAsia="zh-CN"/>
        </w:rPr>
        <w:t xml:space="preserve">  </w:t>
      </w:r>
      <w:r>
        <w:rPr>
          <w:rFonts w:hint="default" w:ascii="仿宋_GB2312" w:hAnsi="仿宋_GB2312" w:eastAsia="仿宋_GB2312" w:cs="仿宋_GB2312"/>
          <w:spacing w:val="-2"/>
          <w:sz w:val="32"/>
          <w:szCs w:val="32"/>
          <w:lang w:val="en-US" w:eastAsia="zh-CN"/>
        </w:rPr>
        <w:t xml:space="preserve"> </w:t>
      </w:r>
      <w:r>
        <w:rPr>
          <w:rFonts w:hint="eastAsia" w:ascii="仿宋_GB2312" w:hAnsi="仿宋_GB2312" w:eastAsia="仿宋_GB2312" w:cs="仿宋_GB2312"/>
          <w:spacing w:val="-2"/>
          <w:sz w:val="32"/>
          <w:szCs w:val="32"/>
          <w:lang w:val="en-US" w:eastAsia="zh-CN"/>
        </w:rPr>
        <w:t xml:space="preserve"> </w:t>
      </w:r>
      <w:r>
        <w:rPr>
          <w:rFonts w:hint="eastAsia" w:ascii="仿宋_GB2312" w:hAnsi="仿宋_GB2312" w:eastAsia="仿宋_GB2312" w:cs="仿宋_GB2312"/>
          <w:spacing w:val="-2"/>
          <w:sz w:val="32"/>
          <w:szCs w:val="32"/>
        </w:rPr>
        <w:t xml:space="preserve">年  </w:t>
      </w:r>
      <w:r>
        <w:rPr>
          <w:rFonts w:hint="eastAsia" w:ascii="仿宋_GB2312" w:hAnsi="仿宋_GB2312" w:eastAsia="仿宋_GB2312" w:cs="仿宋_GB2312"/>
          <w:spacing w:val="-2"/>
          <w:sz w:val="32"/>
          <w:szCs w:val="32"/>
          <w:lang w:val="en-US" w:eastAsia="zh-CN"/>
        </w:rPr>
        <w:t xml:space="preserve"> </w:t>
      </w:r>
      <w:r>
        <w:rPr>
          <w:rFonts w:hint="default" w:ascii="仿宋_GB2312" w:hAnsi="仿宋_GB2312" w:eastAsia="仿宋_GB2312" w:cs="仿宋_GB2312"/>
          <w:spacing w:val="-2"/>
          <w:sz w:val="32"/>
          <w:szCs w:val="32"/>
          <w:lang w:val="en-US" w:eastAsia="zh-CN"/>
        </w:rPr>
        <w:t xml:space="preserve"> </w:t>
      </w:r>
      <w:r>
        <w:rPr>
          <w:rFonts w:hint="eastAsia" w:ascii="仿宋_GB2312" w:hAnsi="仿宋_GB2312" w:eastAsia="仿宋_GB2312" w:cs="仿宋_GB2312"/>
          <w:spacing w:val="-2"/>
          <w:sz w:val="32"/>
          <w:szCs w:val="32"/>
        </w:rPr>
        <w:t xml:space="preserve"> 月 </w:t>
      </w:r>
      <w:r>
        <w:rPr>
          <w:rFonts w:hint="default" w:ascii="仿宋_GB2312" w:hAnsi="仿宋_GB2312" w:eastAsia="仿宋_GB2312" w:cs="仿宋_GB2312"/>
          <w:spacing w:val="-2"/>
          <w:sz w:val="32"/>
          <w:szCs w:val="32"/>
          <w:lang w:val="en-US"/>
        </w:rPr>
        <w:t xml:space="preserve"> </w:t>
      </w:r>
      <w:r>
        <w:rPr>
          <w:rFonts w:hint="eastAsia" w:ascii="仿宋_GB2312" w:hAnsi="仿宋_GB2312" w:eastAsia="仿宋_GB2312" w:cs="仿宋_GB2312"/>
          <w:spacing w:val="-2"/>
          <w:sz w:val="32"/>
          <w:szCs w:val="32"/>
        </w:rPr>
        <w:t xml:space="preserve">   日</w:t>
      </w:r>
    </w:p>
    <w:tbl>
      <w:tblPr>
        <w:tblStyle w:val="10"/>
        <w:tblW w:w="146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230"/>
        <w:gridCol w:w="1304"/>
        <w:gridCol w:w="10136"/>
        <w:gridCol w:w="1249"/>
      </w:tblGrid>
      <w:tr w14:paraId="54C18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10" w:type="dxa"/>
            <w:vAlign w:val="center"/>
          </w:tcPr>
          <w:p w14:paraId="CA6449BE">
            <w:pPr>
              <w:spacing w:before="163" w:line="222" w:lineRule="auto"/>
              <w:ind w:left="139"/>
              <w:rPr>
                <w:rFonts w:hint="eastAsia" w:ascii="国标黑体" w:hAnsi="国标黑体" w:eastAsia="国标黑体" w:cs="国标黑体"/>
                <w:sz w:val="24"/>
                <w:szCs w:val="24"/>
              </w:rPr>
            </w:pPr>
            <w:r>
              <w:rPr>
                <w:rFonts w:hint="eastAsia" w:ascii="国标黑体" w:hAnsi="国标黑体" w:eastAsia="国标黑体" w:cs="国标黑体"/>
                <w:b/>
                <w:bCs/>
                <w:spacing w:val="-6"/>
                <w:sz w:val="24"/>
                <w:szCs w:val="24"/>
              </w:rPr>
              <w:t>序号</w:t>
            </w:r>
          </w:p>
        </w:tc>
        <w:tc>
          <w:tcPr>
            <w:tcW w:w="1230" w:type="dxa"/>
            <w:vAlign w:val="center"/>
          </w:tcPr>
          <w:p w14:paraId="86C1DB00">
            <w:pPr>
              <w:spacing w:before="163" w:line="219" w:lineRule="auto"/>
              <w:ind w:left="175"/>
              <w:rPr>
                <w:rFonts w:hint="eastAsia" w:ascii="国标黑体" w:hAnsi="国标黑体" w:eastAsia="国标黑体" w:cs="国标黑体"/>
                <w:sz w:val="24"/>
                <w:szCs w:val="24"/>
              </w:rPr>
            </w:pPr>
            <w:r>
              <w:rPr>
                <w:rFonts w:hint="eastAsia" w:ascii="国标黑体" w:hAnsi="国标黑体" w:eastAsia="国标黑体" w:cs="国标黑体"/>
                <w:b/>
                <w:bCs/>
                <w:spacing w:val="-4"/>
                <w:sz w:val="24"/>
                <w:szCs w:val="24"/>
              </w:rPr>
              <w:t>评估内容</w:t>
            </w:r>
          </w:p>
        </w:tc>
        <w:tc>
          <w:tcPr>
            <w:tcW w:w="1304" w:type="dxa"/>
            <w:vAlign w:val="center"/>
          </w:tcPr>
          <w:p w14:paraId="08298254">
            <w:pPr>
              <w:spacing w:before="162" w:line="221" w:lineRule="auto"/>
              <w:ind w:left="216"/>
              <w:rPr>
                <w:rFonts w:hint="eastAsia" w:ascii="国标黑体" w:hAnsi="国标黑体" w:eastAsia="国标黑体" w:cs="国标黑体"/>
                <w:sz w:val="24"/>
                <w:szCs w:val="24"/>
              </w:rPr>
            </w:pPr>
            <w:r>
              <w:rPr>
                <w:rFonts w:hint="eastAsia" w:ascii="国标黑体" w:hAnsi="国标黑体" w:eastAsia="国标黑体" w:cs="国标黑体"/>
                <w:b/>
                <w:bCs/>
                <w:spacing w:val="-5"/>
                <w:sz w:val="24"/>
                <w:szCs w:val="24"/>
              </w:rPr>
              <w:t>指标类型</w:t>
            </w:r>
          </w:p>
        </w:tc>
        <w:tc>
          <w:tcPr>
            <w:tcW w:w="10136" w:type="dxa"/>
            <w:vAlign w:val="center"/>
          </w:tcPr>
          <w:p w14:paraId="2205F2AF">
            <w:pPr>
              <w:spacing w:before="163" w:line="219" w:lineRule="auto"/>
              <w:ind w:left="4630"/>
              <w:rPr>
                <w:rFonts w:hint="eastAsia" w:ascii="国标黑体" w:hAnsi="国标黑体" w:eastAsia="国标黑体" w:cs="国标黑体"/>
                <w:sz w:val="24"/>
                <w:szCs w:val="24"/>
              </w:rPr>
            </w:pPr>
            <w:r>
              <w:rPr>
                <w:rFonts w:hint="eastAsia" w:ascii="国标黑体" w:hAnsi="国标黑体" w:eastAsia="国标黑体" w:cs="国标黑体"/>
                <w:b/>
                <w:bCs/>
                <w:spacing w:val="-4"/>
                <w:sz w:val="24"/>
                <w:szCs w:val="24"/>
              </w:rPr>
              <w:t>评估标准</w:t>
            </w:r>
          </w:p>
        </w:tc>
        <w:tc>
          <w:tcPr>
            <w:tcW w:w="1249" w:type="dxa"/>
            <w:vAlign w:val="center"/>
          </w:tcPr>
          <w:p w14:paraId="82E75871">
            <w:pPr>
              <w:spacing w:before="163" w:line="219" w:lineRule="auto"/>
              <w:ind w:left="187"/>
              <w:rPr>
                <w:rFonts w:hint="eastAsia" w:ascii="国标黑体" w:hAnsi="国标黑体" w:eastAsia="国标黑体" w:cs="国标黑体"/>
                <w:sz w:val="24"/>
                <w:szCs w:val="24"/>
              </w:rPr>
            </w:pPr>
            <w:r>
              <w:rPr>
                <w:rFonts w:hint="eastAsia" w:ascii="国标黑体" w:hAnsi="国标黑体" w:eastAsia="国标黑体" w:cs="国标黑体"/>
                <w:b/>
                <w:bCs/>
                <w:spacing w:val="-4"/>
                <w:sz w:val="24"/>
                <w:szCs w:val="24"/>
              </w:rPr>
              <w:t>评估情况</w:t>
            </w:r>
          </w:p>
        </w:tc>
      </w:tr>
      <w:tr w14:paraId="A6214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F2595419">
            <w:pPr>
              <w:keepNext w:val="0"/>
              <w:keepLines w:val="0"/>
              <w:pageBreakBefore w:val="0"/>
              <w:widowControl/>
              <w:kinsoku w:val="0"/>
              <w:wordWrap/>
              <w:overflowPunct/>
              <w:topLinePunct w:val="0"/>
              <w:autoSpaceDE w:val="0"/>
              <w:autoSpaceDN w:val="0"/>
              <w:bidi w:val="0"/>
              <w:adjustRightInd w:val="0"/>
              <w:snapToGrid w:val="0"/>
              <w:spacing w:line="442" w:lineRule="auto"/>
              <w:textAlignment w:val="baseline"/>
              <w:rPr>
                <w:rFonts w:hint="eastAsia" w:ascii="仿宋_GB2312" w:hAnsi="仿宋_GB2312" w:eastAsia="仿宋_GB2312" w:cs="仿宋_GB2312"/>
                <w:b w:val="0"/>
                <w:bCs w:val="0"/>
                <w:color w:val="auto"/>
                <w:sz w:val="24"/>
                <w:szCs w:val="24"/>
              </w:rPr>
            </w:pPr>
          </w:p>
          <w:p w14:paraId="1062907A">
            <w:pPr>
              <w:pStyle w:val="11"/>
              <w:keepNext w:val="0"/>
              <w:keepLines w:val="0"/>
              <w:pageBreakBefore w:val="0"/>
              <w:widowControl/>
              <w:kinsoku w:val="0"/>
              <w:wordWrap/>
              <w:overflowPunct/>
              <w:topLinePunct w:val="0"/>
              <w:autoSpaceDE w:val="0"/>
              <w:autoSpaceDN w:val="0"/>
              <w:bidi w:val="0"/>
              <w:adjustRightInd w:val="0"/>
              <w:snapToGrid w:val="0"/>
              <w:spacing w:line="237" w:lineRule="auto"/>
              <w:ind w:left="316"/>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1</w:t>
            </w:r>
          </w:p>
        </w:tc>
        <w:tc>
          <w:tcPr>
            <w:tcW w:w="1230" w:type="dxa"/>
            <w:vMerge w:val="restart"/>
            <w:tcBorders>
              <w:bottom w:val="nil"/>
            </w:tcBorders>
            <w:vAlign w:val="center"/>
          </w:tcPr>
          <w:p w14:paraId="45CA7CB4">
            <w:pPr>
              <w:keepNext w:val="0"/>
              <w:keepLines w:val="0"/>
              <w:pageBreakBefore w:val="0"/>
              <w:widowControl/>
              <w:kinsoku w:val="0"/>
              <w:wordWrap/>
              <w:overflowPunct/>
              <w:topLinePunct w:val="0"/>
              <w:autoSpaceDE w:val="0"/>
              <w:autoSpaceDN w:val="0"/>
              <w:bidi w:val="0"/>
              <w:adjustRightInd w:val="0"/>
              <w:snapToGrid w:val="0"/>
              <w:spacing w:line="258" w:lineRule="auto"/>
              <w:textAlignment w:val="baseline"/>
              <w:rPr>
                <w:rFonts w:hint="eastAsia" w:ascii="仿宋_GB2312" w:hAnsi="仿宋_GB2312" w:eastAsia="仿宋_GB2312" w:cs="仿宋_GB2312"/>
                <w:b w:val="0"/>
                <w:bCs w:val="0"/>
                <w:color w:val="auto"/>
                <w:sz w:val="24"/>
                <w:szCs w:val="24"/>
              </w:rPr>
            </w:pPr>
          </w:p>
          <w:p w14:paraId="04C1C9C1">
            <w:pPr>
              <w:keepNext w:val="0"/>
              <w:keepLines w:val="0"/>
              <w:pageBreakBefore w:val="0"/>
              <w:widowControl/>
              <w:kinsoku w:val="0"/>
              <w:wordWrap/>
              <w:overflowPunct/>
              <w:topLinePunct w:val="0"/>
              <w:autoSpaceDE w:val="0"/>
              <w:autoSpaceDN w:val="0"/>
              <w:bidi w:val="0"/>
              <w:adjustRightInd w:val="0"/>
              <w:snapToGrid w:val="0"/>
              <w:spacing w:line="259" w:lineRule="auto"/>
              <w:textAlignment w:val="baseline"/>
              <w:rPr>
                <w:rFonts w:hint="eastAsia" w:ascii="仿宋_GB2312" w:hAnsi="仿宋_GB2312" w:eastAsia="仿宋_GB2312" w:cs="仿宋_GB2312"/>
                <w:b w:val="0"/>
                <w:bCs w:val="0"/>
                <w:color w:val="auto"/>
                <w:sz w:val="24"/>
                <w:szCs w:val="24"/>
              </w:rPr>
            </w:pPr>
          </w:p>
          <w:p w14:paraId="6C5823E5">
            <w:pPr>
              <w:keepNext w:val="0"/>
              <w:keepLines w:val="0"/>
              <w:pageBreakBefore w:val="0"/>
              <w:widowControl/>
              <w:kinsoku w:val="0"/>
              <w:wordWrap/>
              <w:overflowPunct/>
              <w:topLinePunct w:val="0"/>
              <w:autoSpaceDE w:val="0"/>
              <w:autoSpaceDN w:val="0"/>
              <w:bidi w:val="0"/>
              <w:adjustRightInd w:val="0"/>
              <w:snapToGrid w:val="0"/>
              <w:spacing w:line="259" w:lineRule="auto"/>
              <w:textAlignment w:val="baseline"/>
              <w:rPr>
                <w:rFonts w:hint="eastAsia" w:ascii="仿宋_GB2312" w:hAnsi="仿宋_GB2312" w:eastAsia="仿宋_GB2312" w:cs="仿宋_GB2312"/>
                <w:b w:val="0"/>
                <w:bCs w:val="0"/>
                <w:color w:val="auto"/>
                <w:sz w:val="24"/>
                <w:szCs w:val="24"/>
              </w:rPr>
            </w:pPr>
          </w:p>
          <w:p w14:paraId="7D5B6E68">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378" w:right="135" w:hanging="24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2"/>
                <w:sz w:val="24"/>
                <w:szCs w:val="24"/>
              </w:rPr>
              <w:t>基本条件</w:t>
            </w:r>
            <w:r>
              <w:rPr>
                <w:rFonts w:hint="eastAsia" w:ascii="仿宋_GB2312" w:hAnsi="仿宋_GB2312" w:eastAsia="仿宋_GB2312" w:cs="仿宋_GB2312"/>
                <w:b w:val="0"/>
                <w:bCs w:val="0"/>
                <w:color w:val="auto"/>
                <w:spacing w:val="-5"/>
                <w:sz w:val="24"/>
                <w:szCs w:val="24"/>
              </w:rPr>
              <w:t>评定</w:t>
            </w:r>
          </w:p>
        </w:tc>
        <w:tc>
          <w:tcPr>
            <w:tcW w:w="1304" w:type="dxa"/>
            <w:vAlign w:val="center"/>
          </w:tcPr>
          <w:p w14:paraId="04367ACC">
            <w:pPr>
              <w:keepNext w:val="0"/>
              <w:keepLines w:val="0"/>
              <w:pageBreakBefore w:val="0"/>
              <w:widowControl/>
              <w:kinsoku w:val="0"/>
              <w:wordWrap/>
              <w:overflowPunct/>
              <w:topLinePunct w:val="0"/>
              <w:autoSpaceDE w:val="0"/>
              <w:autoSpaceDN w:val="0"/>
              <w:bidi w:val="0"/>
              <w:adjustRightInd w:val="0"/>
              <w:snapToGrid w:val="0"/>
              <w:spacing w:line="282" w:lineRule="auto"/>
              <w:jc w:val="center"/>
              <w:textAlignment w:val="baseline"/>
              <w:rPr>
                <w:rFonts w:hint="eastAsia" w:ascii="仿宋_GB2312" w:hAnsi="仿宋_GB2312" w:eastAsia="仿宋_GB2312" w:cs="仿宋_GB2312"/>
                <w:b w:val="0"/>
                <w:bCs w:val="0"/>
                <w:color w:val="auto"/>
                <w:sz w:val="24"/>
                <w:szCs w:val="24"/>
              </w:rPr>
            </w:pPr>
          </w:p>
          <w:p w14:paraId="FDFEBD70">
            <w:pPr>
              <w:keepNext w:val="0"/>
              <w:keepLines w:val="0"/>
              <w:pageBreakBefore w:val="0"/>
              <w:widowControl/>
              <w:kinsoku w:val="0"/>
              <w:wordWrap/>
              <w:overflowPunct/>
              <w:topLinePunct w:val="0"/>
              <w:autoSpaceDE w:val="0"/>
              <w:autoSpaceDN w:val="0"/>
              <w:bidi w:val="0"/>
              <w:adjustRightInd w:val="0"/>
              <w:snapToGrid w:val="0"/>
              <w:spacing w:line="282" w:lineRule="auto"/>
              <w:jc w:val="center"/>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培训资质</w:t>
            </w:r>
          </w:p>
        </w:tc>
        <w:tc>
          <w:tcPr>
            <w:tcW w:w="10136" w:type="dxa"/>
            <w:vAlign w:val="center"/>
          </w:tcPr>
          <w:p w14:paraId="0F6D99DB">
            <w:pPr>
              <w:pStyle w:val="11"/>
              <w:keepNext w:val="0"/>
              <w:keepLines w:val="0"/>
              <w:pageBreakBefore w:val="0"/>
              <w:widowControl/>
              <w:kinsoku w:val="0"/>
              <w:wordWrap/>
              <w:overflowPunct/>
              <w:topLinePunct w:val="0"/>
              <w:autoSpaceDE w:val="0"/>
              <w:autoSpaceDN w:val="0"/>
              <w:bidi w:val="0"/>
              <w:adjustRightInd w:val="0"/>
              <w:snapToGrid w:val="0"/>
              <w:spacing w:line="246" w:lineRule="auto"/>
              <w:ind w:left="118" w:right="187" w:firstLine="9"/>
              <w:jc w:val="both"/>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在</w:t>
            </w:r>
            <w:r>
              <w:rPr>
                <w:rFonts w:hint="eastAsia" w:ascii="仿宋_GB2312" w:hAnsi="仿宋_GB2312" w:eastAsia="仿宋_GB2312" w:cs="仿宋_GB2312"/>
                <w:b w:val="0"/>
                <w:bCs w:val="0"/>
                <w:color w:val="auto"/>
                <w:sz w:val="24"/>
                <w:szCs w:val="24"/>
                <w:lang w:eastAsia="zh-CN"/>
              </w:rPr>
              <w:t>龙岩市</w:t>
            </w:r>
            <w:r>
              <w:rPr>
                <w:rFonts w:hint="eastAsia" w:ascii="仿宋_GB2312" w:hAnsi="仿宋_GB2312" w:eastAsia="仿宋_GB2312" w:cs="仿宋_GB2312"/>
                <w:b w:val="0"/>
                <w:bCs w:val="0"/>
                <w:color w:val="auto"/>
                <w:sz w:val="24"/>
                <w:szCs w:val="24"/>
              </w:rPr>
              <w:t>内依法注册登记且证照齐全（包括事业单位法人登记证书、民办非企业单位登记证书、医疗机构执业许可证、办学许可证等），若申请机构为分支机构，应提供具有隶属关系的上级机构的上述证照及上级机构授权书同意其参与失能等级评估培训机构申请。</w:t>
            </w:r>
          </w:p>
        </w:tc>
        <w:tc>
          <w:tcPr>
            <w:tcW w:w="1249" w:type="dxa"/>
            <w:vAlign w:val="center"/>
          </w:tcPr>
          <w:p w14:paraId="313D4B8F">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r w14:paraId="90CE2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300FB1C4">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rPr>
                <w:rFonts w:hint="eastAsia" w:ascii="仿宋_GB2312" w:hAnsi="仿宋_GB2312" w:eastAsia="仿宋_GB2312" w:cs="仿宋_GB2312"/>
                <w:b w:val="0"/>
                <w:bCs w:val="0"/>
                <w:color w:val="auto"/>
                <w:sz w:val="24"/>
                <w:szCs w:val="24"/>
              </w:rPr>
            </w:pPr>
          </w:p>
          <w:p w14:paraId="BF49ECBE">
            <w:pPr>
              <w:pStyle w:val="11"/>
              <w:keepNext w:val="0"/>
              <w:keepLines w:val="0"/>
              <w:pageBreakBefore w:val="0"/>
              <w:widowControl/>
              <w:kinsoku w:val="0"/>
              <w:wordWrap/>
              <w:overflowPunct/>
              <w:topLinePunct w:val="0"/>
              <w:autoSpaceDE w:val="0"/>
              <w:autoSpaceDN w:val="0"/>
              <w:bidi w:val="0"/>
              <w:adjustRightInd w:val="0"/>
              <w:snapToGrid w:val="0"/>
              <w:spacing w:line="237" w:lineRule="auto"/>
              <w:ind w:left="31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2</w:t>
            </w:r>
          </w:p>
        </w:tc>
        <w:tc>
          <w:tcPr>
            <w:tcW w:w="1230" w:type="dxa"/>
            <w:vMerge w:val="continue"/>
            <w:tcBorders>
              <w:top w:val="nil"/>
              <w:bottom w:val="nil"/>
            </w:tcBorders>
            <w:vAlign w:val="center"/>
          </w:tcPr>
          <w:p w14:paraId="49A0FE7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Align w:val="center"/>
          </w:tcPr>
          <w:p w14:paraId="0A57B473">
            <w:pPr>
              <w:keepNext w:val="0"/>
              <w:keepLines w:val="0"/>
              <w:pageBreakBefore w:val="0"/>
              <w:widowControl/>
              <w:kinsoku w:val="0"/>
              <w:wordWrap/>
              <w:overflowPunct/>
              <w:topLinePunct w:val="0"/>
              <w:autoSpaceDE w:val="0"/>
              <w:autoSpaceDN w:val="0"/>
              <w:bidi w:val="0"/>
              <w:adjustRightInd w:val="0"/>
              <w:snapToGrid w:val="0"/>
              <w:spacing w:before="180" w:line="281" w:lineRule="auto"/>
              <w:jc w:val="center"/>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信用状况</w:t>
            </w:r>
          </w:p>
        </w:tc>
        <w:tc>
          <w:tcPr>
            <w:tcW w:w="10136" w:type="dxa"/>
            <w:vAlign w:val="center"/>
          </w:tcPr>
          <w:p w14:paraId="45945A8D">
            <w:pPr>
              <w:pStyle w:val="11"/>
              <w:keepNext w:val="0"/>
              <w:keepLines w:val="0"/>
              <w:pageBreakBefore w:val="0"/>
              <w:widowControl/>
              <w:kinsoku w:val="0"/>
              <w:wordWrap/>
              <w:overflowPunct/>
              <w:topLinePunct w:val="0"/>
              <w:autoSpaceDE w:val="0"/>
              <w:autoSpaceDN w:val="0"/>
              <w:bidi w:val="0"/>
              <w:adjustRightInd w:val="0"/>
              <w:snapToGrid w:val="0"/>
              <w:spacing w:line="216" w:lineRule="auto"/>
              <w:ind w:firstLine="120" w:firstLineChars="5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信用状况良好，未被列入有关经营（运营）异常名录或严重违法失信单位名单，无不良</w:t>
            </w:r>
            <w:r>
              <w:rPr>
                <w:rFonts w:hint="eastAsia" w:ascii="仿宋_GB2312" w:hAnsi="仿宋_GB2312" w:eastAsia="仿宋_GB2312" w:cs="仿宋_GB2312"/>
                <w:b w:val="0"/>
                <w:bCs w:val="0"/>
                <w:color w:val="auto"/>
                <w:spacing w:val="-1"/>
                <w:sz w:val="24"/>
                <w:szCs w:val="24"/>
              </w:rPr>
              <w:t>记录。</w:t>
            </w:r>
          </w:p>
        </w:tc>
        <w:tc>
          <w:tcPr>
            <w:tcW w:w="1249" w:type="dxa"/>
            <w:vAlign w:val="center"/>
          </w:tcPr>
          <w:p w14:paraId="1D34DBCA">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r w14:paraId="B9B13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710" w:type="dxa"/>
            <w:vAlign w:val="center"/>
          </w:tcPr>
          <w:p w14:paraId="D290DDB0">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rPr>
                <w:rFonts w:hint="eastAsia" w:ascii="仿宋_GB2312" w:hAnsi="仿宋_GB2312" w:eastAsia="仿宋_GB2312" w:cs="仿宋_GB2312"/>
                <w:b w:val="0"/>
                <w:bCs w:val="0"/>
                <w:color w:val="auto"/>
                <w:sz w:val="24"/>
                <w:szCs w:val="24"/>
              </w:rPr>
            </w:pPr>
          </w:p>
          <w:p w14:paraId="EB02AEE4">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2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3</w:t>
            </w:r>
          </w:p>
        </w:tc>
        <w:tc>
          <w:tcPr>
            <w:tcW w:w="1230" w:type="dxa"/>
            <w:vMerge w:val="continue"/>
            <w:tcBorders>
              <w:top w:val="nil"/>
              <w:bottom w:val="nil"/>
            </w:tcBorders>
            <w:vAlign w:val="center"/>
          </w:tcPr>
          <w:p w14:paraId="DCA05FC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Align w:val="center"/>
          </w:tcPr>
          <w:p w14:paraId="32066C50">
            <w:pPr>
              <w:keepNext w:val="0"/>
              <w:keepLines w:val="0"/>
              <w:pageBreakBefore w:val="0"/>
              <w:widowControl/>
              <w:kinsoku w:val="0"/>
              <w:wordWrap/>
              <w:overflowPunct/>
              <w:topLinePunct w:val="0"/>
              <w:autoSpaceDE w:val="0"/>
              <w:autoSpaceDN w:val="0"/>
              <w:bidi w:val="0"/>
              <w:adjustRightInd w:val="0"/>
              <w:snapToGrid w:val="0"/>
              <w:spacing w:line="282" w:lineRule="auto"/>
              <w:jc w:val="center"/>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专业/科室设置</w:t>
            </w:r>
          </w:p>
        </w:tc>
        <w:tc>
          <w:tcPr>
            <w:tcW w:w="10136" w:type="dxa"/>
            <w:vAlign w:val="center"/>
          </w:tcPr>
          <w:p w14:paraId="1FCF982D">
            <w:pPr>
              <w:pStyle w:val="11"/>
              <w:keepNext w:val="0"/>
              <w:keepLines w:val="0"/>
              <w:pageBreakBefore w:val="0"/>
              <w:widowControl/>
              <w:kinsoku w:val="0"/>
              <w:wordWrap/>
              <w:overflowPunct/>
              <w:topLinePunct w:val="0"/>
              <w:autoSpaceDE w:val="0"/>
              <w:autoSpaceDN w:val="0"/>
              <w:bidi w:val="0"/>
              <w:adjustRightInd w:val="0"/>
              <w:snapToGrid w:val="0"/>
              <w:spacing w:line="247" w:lineRule="auto"/>
              <w:ind w:left="145" w:right="187" w:hanging="22"/>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高等院校需开设老年医学、康复医学或护理学</w:t>
            </w:r>
            <w:r>
              <w:rPr>
                <w:rFonts w:hint="eastAsia" w:ascii="仿宋_GB2312" w:hAnsi="仿宋_GB2312" w:eastAsia="仿宋_GB2312" w:cs="仿宋_GB2312"/>
                <w:b w:val="0"/>
                <w:bCs w:val="0"/>
                <w:color w:val="auto"/>
                <w:spacing w:val="-1"/>
                <w:sz w:val="24"/>
                <w:szCs w:val="24"/>
              </w:rPr>
              <w:t>等康复护理相关专业，公立医疗机构应为二级及</w:t>
            </w:r>
            <w:r>
              <w:rPr>
                <w:rFonts w:hint="eastAsia" w:ascii="仿宋_GB2312" w:hAnsi="仿宋_GB2312" w:eastAsia="仿宋_GB2312" w:cs="仿宋_GB2312"/>
                <w:b w:val="0"/>
                <w:bCs w:val="0"/>
                <w:color w:val="auto"/>
                <w:spacing w:val="-3"/>
                <w:sz w:val="24"/>
                <w:szCs w:val="24"/>
              </w:rPr>
              <w:t>以上且设置康复医学、老年医学等相关科室。</w:t>
            </w:r>
          </w:p>
        </w:tc>
        <w:tc>
          <w:tcPr>
            <w:tcW w:w="1249" w:type="dxa"/>
            <w:vAlign w:val="center"/>
          </w:tcPr>
          <w:p w14:paraId="99EEB9F8">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r w14:paraId="9F3AC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710" w:type="dxa"/>
            <w:vMerge w:val="restart"/>
            <w:tcBorders>
              <w:bottom w:val="nil"/>
            </w:tcBorders>
            <w:vAlign w:val="center"/>
          </w:tcPr>
          <w:p w14:paraId="7AE0FD1B">
            <w:pPr>
              <w:keepNext w:val="0"/>
              <w:keepLines w:val="0"/>
              <w:pageBreakBefore w:val="0"/>
              <w:widowControl/>
              <w:kinsoku w:val="0"/>
              <w:wordWrap/>
              <w:overflowPunct/>
              <w:topLinePunct w:val="0"/>
              <w:autoSpaceDE w:val="0"/>
              <w:autoSpaceDN w:val="0"/>
              <w:bidi w:val="0"/>
              <w:adjustRightInd w:val="0"/>
              <w:snapToGrid w:val="0"/>
              <w:spacing w:line="282" w:lineRule="auto"/>
              <w:textAlignment w:val="baseline"/>
              <w:rPr>
                <w:rFonts w:hint="eastAsia" w:ascii="仿宋_GB2312" w:hAnsi="仿宋_GB2312" w:eastAsia="仿宋_GB2312" w:cs="仿宋_GB2312"/>
                <w:b w:val="0"/>
                <w:bCs w:val="0"/>
                <w:color w:val="auto"/>
                <w:sz w:val="24"/>
                <w:szCs w:val="24"/>
              </w:rPr>
            </w:pPr>
          </w:p>
          <w:p w14:paraId="1C9C3599">
            <w:pPr>
              <w:keepNext w:val="0"/>
              <w:keepLines w:val="0"/>
              <w:pageBreakBefore w:val="0"/>
              <w:widowControl/>
              <w:kinsoku w:val="0"/>
              <w:wordWrap/>
              <w:overflowPunct/>
              <w:topLinePunct w:val="0"/>
              <w:autoSpaceDE w:val="0"/>
              <w:autoSpaceDN w:val="0"/>
              <w:bidi w:val="0"/>
              <w:adjustRightInd w:val="0"/>
              <w:snapToGrid w:val="0"/>
              <w:spacing w:line="282" w:lineRule="auto"/>
              <w:textAlignment w:val="baseline"/>
              <w:rPr>
                <w:rFonts w:hint="eastAsia" w:ascii="仿宋_GB2312" w:hAnsi="仿宋_GB2312" w:eastAsia="仿宋_GB2312" w:cs="仿宋_GB2312"/>
                <w:b w:val="0"/>
                <w:bCs w:val="0"/>
                <w:color w:val="auto"/>
                <w:sz w:val="24"/>
                <w:szCs w:val="24"/>
              </w:rPr>
            </w:pPr>
          </w:p>
          <w:p w14:paraId="F7726FA4">
            <w:pPr>
              <w:keepNext w:val="0"/>
              <w:keepLines w:val="0"/>
              <w:pageBreakBefore w:val="0"/>
              <w:widowControl/>
              <w:kinsoku w:val="0"/>
              <w:wordWrap/>
              <w:overflowPunct/>
              <w:topLinePunct w:val="0"/>
              <w:autoSpaceDE w:val="0"/>
              <w:autoSpaceDN w:val="0"/>
              <w:bidi w:val="0"/>
              <w:adjustRightInd w:val="0"/>
              <w:snapToGrid w:val="0"/>
              <w:spacing w:line="282" w:lineRule="auto"/>
              <w:textAlignment w:val="baseline"/>
              <w:rPr>
                <w:rFonts w:hint="eastAsia" w:ascii="仿宋_GB2312" w:hAnsi="仿宋_GB2312" w:eastAsia="仿宋_GB2312" w:cs="仿宋_GB2312"/>
                <w:b w:val="0"/>
                <w:bCs w:val="0"/>
                <w:color w:val="auto"/>
                <w:sz w:val="24"/>
                <w:szCs w:val="24"/>
              </w:rPr>
            </w:pPr>
          </w:p>
          <w:p w14:paraId="3F7A6CF0">
            <w:pPr>
              <w:pStyle w:val="11"/>
              <w:keepNext w:val="0"/>
              <w:keepLines w:val="0"/>
              <w:pageBreakBefore w:val="0"/>
              <w:widowControl/>
              <w:kinsoku w:val="0"/>
              <w:wordWrap/>
              <w:overflowPunct/>
              <w:topLinePunct w:val="0"/>
              <w:autoSpaceDE w:val="0"/>
              <w:autoSpaceDN w:val="0"/>
              <w:bidi w:val="0"/>
              <w:adjustRightInd w:val="0"/>
              <w:snapToGrid w:val="0"/>
              <w:spacing w:line="237" w:lineRule="auto"/>
              <w:ind w:left="31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4</w:t>
            </w:r>
          </w:p>
        </w:tc>
        <w:tc>
          <w:tcPr>
            <w:tcW w:w="1230" w:type="dxa"/>
            <w:vMerge w:val="continue"/>
            <w:tcBorders>
              <w:top w:val="nil"/>
              <w:bottom w:val="nil"/>
            </w:tcBorders>
            <w:vAlign w:val="center"/>
          </w:tcPr>
          <w:p w14:paraId="28340FA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Merge w:val="restart"/>
            <w:tcBorders>
              <w:bottom w:val="nil"/>
            </w:tcBorders>
            <w:vAlign w:val="center"/>
          </w:tcPr>
          <w:p w14:paraId="97D71A8C">
            <w:pPr>
              <w:pStyle w:val="11"/>
              <w:keepNext w:val="0"/>
              <w:keepLines w:val="0"/>
              <w:pageBreakBefore w:val="0"/>
              <w:widowControl/>
              <w:kinsoku w:val="0"/>
              <w:wordWrap/>
              <w:overflowPunct/>
              <w:topLinePunct w:val="0"/>
              <w:autoSpaceDE w:val="0"/>
              <w:autoSpaceDN w:val="0"/>
              <w:bidi w:val="0"/>
              <w:adjustRightInd w:val="0"/>
              <w:snapToGrid w:val="0"/>
              <w:spacing w:line="219" w:lineRule="auto"/>
              <w:ind w:firstLine="117" w:firstLineChars="5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3"/>
                <w:sz w:val="24"/>
                <w:szCs w:val="24"/>
              </w:rPr>
              <w:t>设备设施</w:t>
            </w:r>
          </w:p>
        </w:tc>
        <w:tc>
          <w:tcPr>
            <w:tcW w:w="10136" w:type="dxa"/>
            <w:vAlign w:val="center"/>
          </w:tcPr>
          <w:p w14:paraId="CC84CD0C">
            <w:pPr>
              <w:pStyle w:val="11"/>
              <w:keepNext w:val="0"/>
              <w:keepLines w:val="0"/>
              <w:pageBreakBefore w:val="0"/>
              <w:widowControl/>
              <w:kinsoku w:val="0"/>
              <w:wordWrap/>
              <w:overflowPunct/>
              <w:topLinePunct w:val="0"/>
              <w:autoSpaceDE w:val="0"/>
              <w:autoSpaceDN w:val="0"/>
              <w:bidi w:val="0"/>
              <w:adjustRightInd w:val="0"/>
              <w:snapToGrid w:val="0"/>
              <w:spacing w:line="215" w:lineRule="auto"/>
              <w:ind w:left="12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
                <w:sz w:val="24"/>
                <w:szCs w:val="24"/>
              </w:rPr>
              <w:t>配备专门的理论培训场所及标准化评估室（含辅助器具模拟场景）。</w:t>
            </w:r>
          </w:p>
        </w:tc>
        <w:tc>
          <w:tcPr>
            <w:tcW w:w="1249" w:type="dxa"/>
            <w:vMerge w:val="restart"/>
            <w:tcBorders>
              <w:bottom w:val="nil"/>
            </w:tcBorders>
            <w:vAlign w:val="center"/>
          </w:tcPr>
          <w:p w14:paraId="9C039930">
            <w:pPr>
              <w:keepNext w:val="0"/>
              <w:keepLines w:val="0"/>
              <w:pageBreakBefore w:val="0"/>
              <w:widowControl/>
              <w:kinsoku w:val="0"/>
              <w:wordWrap/>
              <w:overflowPunct/>
              <w:topLinePunct w:val="0"/>
              <w:autoSpaceDE w:val="0"/>
              <w:autoSpaceDN w:val="0"/>
              <w:bidi w:val="0"/>
              <w:adjustRightInd w:val="0"/>
              <w:snapToGrid w:val="0"/>
              <w:spacing w:line="314" w:lineRule="auto"/>
              <w:textAlignment w:val="baseline"/>
              <w:rPr>
                <w:rFonts w:hint="eastAsia" w:ascii="仿宋_GB2312" w:hAnsi="仿宋_GB2312" w:eastAsia="仿宋_GB2312" w:cs="仿宋_GB2312"/>
                <w:b w:val="0"/>
                <w:bCs w:val="0"/>
                <w:color w:val="auto"/>
                <w:sz w:val="24"/>
                <w:szCs w:val="24"/>
              </w:rPr>
            </w:pPr>
          </w:p>
          <w:p w14:paraId="9751EC81">
            <w:pPr>
              <w:keepNext w:val="0"/>
              <w:keepLines w:val="0"/>
              <w:pageBreakBefore w:val="0"/>
              <w:widowControl/>
              <w:kinsoku w:val="0"/>
              <w:wordWrap/>
              <w:overflowPunct/>
              <w:topLinePunct w:val="0"/>
              <w:autoSpaceDE w:val="0"/>
              <w:autoSpaceDN w:val="0"/>
              <w:bidi w:val="0"/>
              <w:adjustRightInd w:val="0"/>
              <w:snapToGrid w:val="0"/>
              <w:spacing w:line="314" w:lineRule="auto"/>
              <w:textAlignment w:val="baseline"/>
              <w:rPr>
                <w:rFonts w:hint="eastAsia" w:ascii="仿宋_GB2312" w:hAnsi="仿宋_GB2312" w:eastAsia="仿宋_GB2312" w:cs="仿宋_GB2312"/>
                <w:b w:val="0"/>
                <w:bCs w:val="0"/>
                <w:color w:val="auto"/>
                <w:sz w:val="24"/>
                <w:szCs w:val="24"/>
              </w:rPr>
            </w:pPr>
          </w:p>
          <w:p w14:paraId="FA77FD73">
            <w:pPr>
              <w:pStyle w:val="11"/>
              <w:keepNext w:val="0"/>
              <w:keepLines w:val="0"/>
              <w:pageBreakBefore w:val="0"/>
              <w:widowControl/>
              <w:kinsoku w:val="0"/>
              <w:wordWrap/>
              <w:overflowPunct/>
              <w:topLinePunct w:val="0"/>
              <w:autoSpaceDE w:val="0"/>
              <w:autoSpaceDN w:val="0"/>
              <w:bidi w:val="0"/>
              <w:adjustRightInd w:val="0"/>
              <w:snapToGrid w:val="0"/>
              <w:spacing w:line="337"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r w14:paraId="B7F95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10" w:type="dxa"/>
            <w:vMerge w:val="continue"/>
            <w:tcBorders>
              <w:top w:val="nil"/>
              <w:bottom w:val="nil"/>
            </w:tcBorders>
            <w:vAlign w:val="center"/>
          </w:tcPr>
          <w:p w14:paraId="FEE49A84">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230" w:type="dxa"/>
            <w:vMerge w:val="continue"/>
            <w:tcBorders>
              <w:top w:val="nil"/>
              <w:bottom w:val="nil"/>
            </w:tcBorders>
            <w:vAlign w:val="center"/>
          </w:tcPr>
          <w:p w14:paraId="6517219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Merge w:val="continue"/>
            <w:tcBorders>
              <w:top w:val="nil"/>
              <w:bottom w:val="nil"/>
            </w:tcBorders>
            <w:vAlign w:val="center"/>
          </w:tcPr>
          <w:p w14:paraId="FF8CA82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0136" w:type="dxa"/>
            <w:vAlign w:val="center"/>
          </w:tcPr>
          <w:p w14:paraId="BA9C1E1C">
            <w:pPr>
              <w:pStyle w:val="11"/>
              <w:keepNext w:val="0"/>
              <w:keepLines w:val="0"/>
              <w:pageBreakBefore w:val="0"/>
              <w:widowControl/>
              <w:kinsoku w:val="0"/>
              <w:wordWrap/>
              <w:overflowPunct/>
              <w:topLinePunct w:val="0"/>
              <w:autoSpaceDE w:val="0"/>
              <w:autoSpaceDN w:val="0"/>
              <w:bidi w:val="0"/>
              <w:adjustRightInd w:val="0"/>
              <w:snapToGrid w:val="0"/>
              <w:spacing w:line="216" w:lineRule="auto"/>
              <w:ind w:left="11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
                <w:sz w:val="24"/>
                <w:szCs w:val="24"/>
              </w:rPr>
              <w:t>培训场地应符合国家规定的消防要求（具备消防安全证明材料）。</w:t>
            </w:r>
          </w:p>
        </w:tc>
        <w:tc>
          <w:tcPr>
            <w:tcW w:w="1249" w:type="dxa"/>
            <w:vMerge w:val="continue"/>
            <w:tcBorders>
              <w:top w:val="nil"/>
              <w:bottom w:val="nil"/>
            </w:tcBorders>
            <w:vAlign w:val="center"/>
          </w:tcPr>
          <w:p w14:paraId="A539EEE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r>
      <w:tr w14:paraId="C7AB0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10" w:type="dxa"/>
            <w:vMerge w:val="continue"/>
            <w:tcBorders>
              <w:top w:val="nil"/>
              <w:bottom w:val="nil"/>
            </w:tcBorders>
            <w:vAlign w:val="center"/>
          </w:tcPr>
          <w:p w14:paraId="0975C29D">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230" w:type="dxa"/>
            <w:vMerge w:val="continue"/>
            <w:tcBorders>
              <w:top w:val="nil"/>
              <w:bottom w:val="nil"/>
            </w:tcBorders>
            <w:vAlign w:val="center"/>
          </w:tcPr>
          <w:p w14:paraId="0C66AA1F">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Merge w:val="continue"/>
            <w:tcBorders>
              <w:top w:val="nil"/>
              <w:bottom w:val="nil"/>
            </w:tcBorders>
            <w:vAlign w:val="center"/>
          </w:tcPr>
          <w:p w14:paraId="D2B020B1">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0136" w:type="dxa"/>
            <w:vAlign w:val="center"/>
          </w:tcPr>
          <w:p w14:paraId="D002F42B">
            <w:pPr>
              <w:pStyle w:val="11"/>
              <w:keepNext w:val="0"/>
              <w:keepLines w:val="0"/>
              <w:pageBreakBefore w:val="0"/>
              <w:widowControl/>
              <w:kinsoku w:val="0"/>
              <w:wordWrap/>
              <w:overflowPunct/>
              <w:topLinePunct w:val="0"/>
              <w:autoSpaceDE w:val="0"/>
              <w:autoSpaceDN w:val="0"/>
              <w:bidi w:val="0"/>
              <w:adjustRightInd w:val="0"/>
              <w:snapToGrid w:val="0"/>
              <w:spacing w:line="216" w:lineRule="auto"/>
              <w:ind w:left="119"/>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
                <w:sz w:val="24"/>
                <w:szCs w:val="24"/>
              </w:rPr>
              <w:t>具备失能等级评估人员规范化培训教学需要的设施设备、教学工具和物资。</w:t>
            </w:r>
          </w:p>
        </w:tc>
        <w:tc>
          <w:tcPr>
            <w:tcW w:w="1249" w:type="dxa"/>
            <w:vMerge w:val="continue"/>
            <w:tcBorders>
              <w:top w:val="nil"/>
              <w:bottom w:val="nil"/>
            </w:tcBorders>
            <w:vAlign w:val="center"/>
          </w:tcPr>
          <w:p w14:paraId="2BAA52E6">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r>
      <w:tr w14:paraId="3E282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710" w:type="dxa"/>
            <w:vMerge w:val="continue"/>
            <w:tcBorders>
              <w:top w:val="nil"/>
            </w:tcBorders>
            <w:vAlign w:val="center"/>
          </w:tcPr>
          <w:p w14:paraId="79B5AC34">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230" w:type="dxa"/>
            <w:vMerge w:val="continue"/>
            <w:tcBorders>
              <w:top w:val="nil"/>
              <w:bottom w:val="nil"/>
            </w:tcBorders>
            <w:vAlign w:val="center"/>
          </w:tcPr>
          <w:p w14:paraId="7F4DD0B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Merge w:val="continue"/>
            <w:tcBorders>
              <w:top w:val="nil"/>
            </w:tcBorders>
            <w:vAlign w:val="center"/>
          </w:tcPr>
          <w:p w14:paraId="B242C4C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0136" w:type="dxa"/>
            <w:vAlign w:val="center"/>
          </w:tcPr>
          <w:p w14:paraId="EA77EE23">
            <w:pPr>
              <w:pStyle w:val="11"/>
              <w:keepNext w:val="0"/>
              <w:keepLines w:val="0"/>
              <w:pageBreakBefore w:val="0"/>
              <w:widowControl/>
              <w:kinsoku w:val="0"/>
              <w:wordWrap/>
              <w:overflowPunct/>
              <w:topLinePunct w:val="0"/>
              <w:autoSpaceDE w:val="0"/>
              <w:autoSpaceDN w:val="0"/>
              <w:bidi w:val="0"/>
              <w:adjustRightInd w:val="0"/>
              <w:snapToGrid w:val="0"/>
              <w:spacing w:line="216" w:lineRule="auto"/>
              <w:ind w:left="12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
                <w:sz w:val="24"/>
                <w:szCs w:val="24"/>
              </w:rPr>
              <w:t>具有举办过业务类事项培训经验，具备培训组织能力，当次最高培训接待能</w:t>
            </w:r>
            <w:r>
              <w:rPr>
                <w:rFonts w:hint="eastAsia" w:ascii="仿宋_GB2312" w:hAnsi="仿宋_GB2312" w:eastAsia="仿宋_GB2312" w:cs="仿宋_GB2312"/>
                <w:b w:val="0"/>
                <w:bCs w:val="0"/>
                <w:color w:val="auto"/>
                <w:spacing w:val="-2"/>
                <w:sz w:val="24"/>
                <w:szCs w:val="24"/>
              </w:rPr>
              <w:t>力不低于</w:t>
            </w:r>
            <w:r>
              <w:rPr>
                <w:rFonts w:hint="eastAsia" w:ascii="仿宋_GB2312" w:hAnsi="仿宋_GB2312" w:eastAsia="仿宋_GB2312" w:cs="仿宋_GB2312"/>
                <w:b w:val="0"/>
                <w:bCs w:val="0"/>
                <w:color w:val="auto"/>
                <w:spacing w:val="-41"/>
                <w:sz w:val="24"/>
                <w:szCs w:val="24"/>
              </w:rPr>
              <w:t xml:space="preserve"> </w:t>
            </w:r>
            <w:r>
              <w:rPr>
                <w:rFonts w:hint="eastAsia" w:ascii="仿宋_GB2312" w:hAnsi="仿宋_GB2312" w:eastAsia="仿宋_GB2312" w:cs="仿宋_GB2312"/>
                <w:b w:val="0"/>
                <w:bCs w:val="0"/>
                <w:color w:val="auto"/>
                <w:spacing w:val="-2"/>
                <w:sz w:val="24"/>
                <w:szCs w:val="24"/>
              </w:rPr>
              <w:t>200</w:t>
            </w:r>
            <w:r>
              <w:rPr>
                <w:rFonts w:hint="eastAsia" w:ascii="仿宋_GB2312" w:hAnsi="仿宋_GB2312" w:eastAsia="仿宋_GB2312" w:cs="仿宋_GB2312"/>
                <w:b w:val="0"/>
                <w:bCs w:val="0"/>
                <w:color w:val="auto"/>
                <w:spacing w:val="-46"/>
                <w:sz w:val="24"/>
                <w:szCs w:val="24"/>
              </w:rPr>
              <w:t xml:space="preserve"> </w:t>
            </w:r>
            <w:r>
              <w:rPr>
                <w:rFonts w:hint="eastAsia" w:ascii="仿宋_GB2312" w:hAnsi="仿宋_GB2312" w:eastAsia="仿宋_GB2312" w:cs="仿宋_GB2312"/>
                <w:b w:val="0"/>
                <w:bCs w:val="0"/>
                <w:color w:val="auto"/>
                <w:spacing w:val="-2"/>
                <w:sz w:val="24"/>
                <w:szCs w:val="24"/>
              </w:rPr>
              <w:t>人。</w:t>
            </w:r>
          </w:p>
        </w:tc>
        <w:tc>
          <w:tcPr>
            <w:tcW w:w="1249" w:type="dxa"/>
            <w:vMerge w:val="continue"/>
            <w:tcBorders>
              <w:top w:val="nil"/>
            </w:tcBorders>
            <w:vAlign w:val="center"/>
          </w:tcPr>
          <w:p w14:paraId="5E5CB2B0">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r>
      <w:tr w14:paraId="CC347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710" w:type="dxa"/>
            <w:vAlign w:val="center"/>
          </w:tcPr>
          <w:p w14:paraId="8B745CBB">
            <w:pPr>
              <w:keepNext w:val="0"/>
              <w:keepLines w:val="0"/>
              <w:pageBreakBefore w:val="0"/>
              <w:widowControl/>
              <w:kinsoku w:val="0"/>
              <w:wordWrap/>
              <w:overflowPunct/>
              <w:topLinePunct w:val="0"/>
              <w:autoSpaceDE w:val="0"/>
              <w:autoSpaceDN w:val="0"/>
              <w:bidi w:val="0"/>
              <w:adjustRightInd w:val="0"/>
              <w:snapToGrid w:val="0"/>
              <w:spacing w:line="241" w:lineRule="auto"/>
              <w:textAlignment w:val="baseline"/>
              <w:rPr>
                <w:rFonts w:hint="eastAsia" w:ascii="仿宋_GB2312" w:hAnsi="仿宋_GB2312" w:eastAsia="仿宋_GB2312" w:cs="仿宋_GB2312"/>
                <w:b w:val="0"/>
                <w:bCs w:val="0"/>
                <w:color w:val="auto"/>
                <w:sz w:val="24"/>
                <w:szCs w:val="24"/>
              </w:rPr>
            </w:pPr>
          </w:p>
          <w:p w14:paraId="E8540123">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14"/>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5</w:t>
            </w:r>
          </w:p>
        </w:tc>
        <w:tc>
          <w:tcPr>
            <w:tcW w:w="1230" w:type="dxa"/>
            <w:vMerge w:val="continue"/>
            <w:tcBorders>
              <w:top w:val="nil"/>
            </w:tcBorders>
            <w:vAlign w:val="center"/>
          </w:tcPr>
          <w:p w14:paraId="D359A44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Align w:val="center"/>
          </w:tcPr>
          <w:p w14:paraId="6E762986">
            <w:pPr>
              <w:pStyle w:val="11"/>
              <w:keepNext w:val="0"/>
              <w:keepLines w:val="0"/>
              <w:pageBreakBefore w:val="0"/>
              <w:widowControl/>
              <w:kinsoku w:val="0"/>
              <w:wordWrap/>
              <w:overflowPunct/>
              <w:topLinePunct w:val="0"/>
              <w:autoSpaceDE w:val="0"/>
              <w:autoSpaceDN w:val="0"/>
              <w:bidi w:val="0"/>
              <w:adjustRightInd w:val="0"/>
              <w:snapToGrid w:val="0"/>
              <w:spacing w:line="217" w:lineRule="auto"/>
              <w:ind w:firstLine="112" w:firstLineChars="5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8"/>
                <w:sz w:val="24"/>
                <w:szCs w:val="24"/>
              </w:rPr>
              <w:t>师资人员</w:t>
            </w:r>
          </w:p>
        </w:tc>
        <w:tc>
          <w:tcPr>
            <w:tcW w:w="10136" w:type="dxa"/>
            <w:vAlign w:val="center"/>
          </w:tcPr>
          <w:p w14:paraId="1613F406">
            <w:pPr>
              <w:pStyle w:val="11"/>
              <w:keepNext w:val="0"/>
              <w:keepLines w:val="0"/>
              <w:pageBreakBefore w:val="0"/>
              <w:widowControl/>
              <w:kinsoku w:val="0"/>
              <w:wordWrap/>
              <w:overflowPunct/>
              <w:topLinePunct w:val="0"/>
              <w:autoSpaceDE w:val="0"/>
              <w:autoSpaceDN w:val="0"/>
              <w:bidi w:val="0"/>
              <w:adjustRightInd w:val="0"/>
              <w:snapToGrid w:val="0"/>
              <w:spacing w:line="246" w:lineRule="auto"/>
              <w:ind w:left="130" w:right="187" w:hanging="12"/>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
                <w:sz w:val="24"/>
                <w:szCs w:val="24"/>
              </w:rPr>
              <w:t>有适应失能等级评估人员培训和评价所需的专（兼）职师资力量，配备</w:t>
            </w:r>
            <w:r>
              <w:rPr>
                <w:rFonts w:hint="eastAsia" w:ascii="仿宋_GB2312" w:hAnsi="仿宋_GB2312" w:eastAsia="仿宋_GB2312" w:cs="仿宋_GB2312"/>
                <w:b w:val="0"/>
                <w:bCs w:val="0"/>
                <w:color w:val="auto"/>
                <w:spacing w:val="-39"/>
                <w:sz w:val="24"/>
                <w:szCs w:val="24"/>
              </w:rPr>
              <w:t xml:space="preserve"> </w:t>
            </w:r>
            <w:r>
              <w:rPr>
                <w:rFonts w:hint="eastAsia" w:ascii="仿宋_GB2312" w:hAnsi="仿宋_GB2312" w:eastAsia="仿宋_GB2312" w:cs="仿宋_GB2312"/>
                <w:b w:val="0"/>
                <w:bCs w:val="0"/>
                <w:color w:val="auto"/>
                <w:spacing w:val="-1"/>
                <w:sz w:val="24"/>
                <w:szCs w:val="24"/>
              </w:rPr>
              <w:t>6</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1"/>
                <w:sz w:val="24"/>
                <w:szCs w:val="24"/>
              </w:rPr>
              <w:t>人</w:t>
            </w:r>
            <w:r>
              <w:rPr>
                <w:rFonts w:hint="eastAsia" w:ascii="仿宋_GB2312" w:hAnsi="仿宋_GB2312" w:eastAsia="仿宋_GB2312" w:cs="仿宋_GB2312"/>
                <w:b w:val="0"/>
                <w:bCs w:val="0"/>
                <w:color w:val="auto"/>
                <w:spacing w:val="-2"/>
                <w:sz w:val="24"/>
                <w:szCs w:val="24"/>
              </w:rPr>
              <w:t>或以上专职工作人员。能提供各类人员名单与任职资格证明。</w:t>
            </w:r>
          </w:p>
        </w:tc>
        <w:tc>
          <w:tcPr>
            <w:tcW w:w="1249" w:type="dxa"/>
            <w:vAlign w:val="center"/>
          </w:tcPr>
          <w:p w14:paraId="BC354EB6">
            <w:pPr>
              <w:pStyle w:val="11"/>
              <w:keepNext w:val="0"/>
              <w:keepLines w:val="0"/>
              <w:pageBreakBefore w:val="0"/>
              <w:widowControl/>
              <w:kinsoku w:val="0"/>
              <w:wordWrap/>
              <w:overflowPunct/>
              <w:topLinePunct w:val="0"/>
              <w:autoSpaceDE w:val="0"/>
              <w:autoSpaceDN w:val="0"/>
              <w:bidi w:val="0"/>
              <w:adjustRightInd w:val="0"/>
              <w:snapToGrid w:val="0"/>
              <w:spacing w:line="294"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bl>
    <w:p w14:paraId="C6B2CF28">
      <w:pPr>
        <w:keepNext w:val="0"/>
        <w:keepLines w:val="0"/>
        <w:pageBreakBefore w:val="0"/>
        <w:widowControl/>
        <w:kinsoku w:val="0"/>
        <w:wordWrap/>
        <w:overflowPunct/>
        <w:topLinePunct w:val="0"/>
        <w:autoSpaceDE w:val="0"/>
        <w:autoSpaceDN w:val="0"/>
        <w:bidi w:val="0"/>
        <w:adjustRightInd w:val="0"/>
        <w:snapToGrid w:val="0"/>
        <w:textAlignment w:val="baseline"/>
        <w:rPr>
          <w:rFonts w:ascii="Arial" w:hAnsi="Arial" w:eastAsia="Arial" w:cs="Arial"/>
          <w:b w:val="0"/>
          <w:bCs w:val="0"/>
          <w:color w:val="auto"/>
          <w:sz w:val="21"/>
          <w:szCs w:val="21"/>
        </w:rPr>
        <w:sectPr>
          <w:headerReference r:id="rId5" w:type="default"/>
          <w:footerReference r:id="rId6" w:type="default"/>
          <w:pgSz w:w="16839" w:h="11906"/>
          <w:pgMar w:top="1083" w:right="1159" w:bottom="1134" w:left="1044" w:header="0" w:footer="0" w:gutter="0"/>
          <w:pgNumType w:fmt="numberInDash"/>
          <w:cols w:space="720" w:num="1"/>
        </w:sectPr>
      </w:pPr>
    </w:p>
    <w:tbl>
      <w:tblPr>
        <w:tblStyle w:val="10"/>
        <w:tblW w:w="146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230"/>
        <w:gridCol w:w="1304"/>
        <w:gridCol w:w="10136"/>
        <w:gridCol w:w="1249"/>
      </w:tblGrid>
      <w:tr w14:paraId="E5B52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710" w:type="dxa"/>
            <w:vAlign w:val="center"/>
          </w:tcPr>
          <w:p w14:paraId="3D59356D">
            <w:pPr>
              <w:keepNext w:val="0"/>
              <w:keepLines w:val="0"/>
              <w:pageBreakBefore w:val="0"/>
              <w:widowControl/>
              <w:kinsoku w:val="0"/>
              <w:wordWrap/>
              <w:overflowPunct/>
              <w:topLinePunct w:val="0"/>
              <w:autoSpaceDE w:val="0"/>
              <w:autoSpaceDN w:val="0"/>
              <w:bidi w:val="0"/>
              <w:adjustRightInd w:val="0"/>
              <w:snapToGrid w:val="0"/>
              <w:spacing w:line="285" w:lineRule="auto"/>
              <w:textAlignment w:val="baseline"/>
              <w:rPr>
                <w:rFonts w:hint="eastAsia" w:ascii="仿宋_GB2312" w:hAnsi="仿宋_GB2312" w:eastAsia="仿宋_GB2312" w:cs="仿宋_GB2312"/>
                <w:b w:val="0"/>
                <w:bCs w:val="0"/>
                <w:color w:val="auto"/>
                <w:sz w:val="24"/>
                <w:szCs w:val="24"/>
              </w:rPr>
            </w:pPr>
          </w:p>
          <w:p w14:paraId="8BE00811">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1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6</w:t>
            </w:r>
          </w:p>
        </w:tc>
        <w:tc>
          <w:tcPr>
            <w:tcW w:w="1230" w:type="dxa"/>
            <w:vMerge w:val="restart"/>
            <w:vAlign w:val="center"/>
          </w:tcPr>
          <w:p w14:paraId="72693F4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bookmarkStart w:id="0" w:name="_GoBack"/>
            <w:bookmarkEnd w:id="0"/>
          </w:p>
          <w:p w14:paraId="6710E0B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r>
              <w:rPr>
                <w:rFonts w:hint="eastAsia" w:ascii="仿宋_GB2312" w:hAnsi="仿宋_GB2312" w:eastAsia="仿宋_GB2312" w:cs="仿宋_GB2312"/>
                <w:b w:val="0"/>
                <w:bCs w:val="0"/>
                <w:snapToGrid w:val="0"/>
                <w:color w:val="auto"/>
                <w:spacing w:val="-2"/>
                <w:kern w:val="0"/>
                <w:sz w:val="24"/>
                <w:szCs w:val="24"/>
                <w:lang w:val="en-US" w:eastAsia="en-US" w:bidi="ar-SA"/>
              </w:rPr>
              <w:t>基本条件</w:t>
            </w:r>
          </w:p>
          <w:p w14:paraId="5C0ED73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color w:val="auto"/>
                <w:sz w:val="24"/>
                <w:szCs w:val="24"/>
                <w:lang w:val="en-US" w:eastAsia="en-US"/>
              </w:rPr>
            </w:pPr>
            <w:r>
              <w:rPr>
                <w:rFonts w:hint="eastAsia" w:ascii="仿宋_GB2312" w:hAnsi="仿宋_GB2312" w:eastAsia="仿宋_GB2312" w:cs="仿宋_GB2312"/>
                <w:b w:val="0"/>
                <w:bCs w:val="0"/>
                <w:snapToGrid w:val="0"/>
                <w:color w:val="auto"/>
                <w:spacing w:val="-2"/>
                <w:kern w:val="0"/>
                <w:sz w:val="24"/>
                <w:szCs w:val="24"/>
                <w:lang w:val="en-US" w:eastAsia="en-US" w:bidi="ar-SA"/>
              </w:rPr>
              <w:t>评定</w:t>
            </w:r>
          </w:p>
        </w:tc>
        <w:tc>
          <w:tcPr>
            <w:tcW w:w="1304" w:type="dxa"/>
            <w:vAlign w:val="center"/>
          </w:tcPr>
          <w:p w14:paraId="335D9DF5">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421" w:right="292" w:hanging="13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
                <w:sz w:val="24"/>
                <w:szCs w:val="24"/>
              </w:rPr>
              <w:t>信息化</w:t>
            </w:r>
            <w:r>
              <w:rPr>
                <w:rFonts w:hint="eastAsia" w:ascii="仿宋_GB2312" w:hAnsi="仿宋_GB2312" w:eastAsia="仿宋_GB2312" w:cs="仿宋_GB2312"/>
                <w:b w:val="0"/>
                <w:bCs w:val="0"/>
                <w:color w:val="auto"/>
                <w:spacing w:val="-8"/>
                <w:sz w:val="24"/>
                <w:szCs w:val="24"/>
              </w:rPr>
              <w:t>支撑</w:t>
            </w:r>
          </w:p>
        </w:tc>
        <w:tc>
          <w:tcPr>
            <w:tcW w:w="10136" w:type="dxa"/>
            <w:vAlign w:val="center"/>
          </w:tcPr>
          <w:p w14:paraId="5D7063EC">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113" w:right="187"/>
              <w:jc w:val="both"/>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承诺在成为失能等级评估培训机构后，满足并使用全国统一的医</w:t>
            </w:r>
            <w:r>
              <w:rPr>
                <w:rFonts w:hint="eastAsia" w:ascii="仿宋_GB2312" w:hAnsi="仿宋_GB2312" w:eastAsia="仿宋_GB2312" w:cs="仿宋_GB2312"/>
                <w:b w:val="0"/>
                <w:bCs w:val="0"/>
                <w:color w:val="auto"/>
                <w:spacing w:val="-1"/>
                <w:sz w:val="24"/>
                <w:szCs w:val="24"/>
              </w:rPr>
              <w:t>保信息平台、与医保信息平台</w:t>
            </w:r>
            <w:r>
              <w:rPr>
                <w:rFonts w:hint="eastAsia" w:ascii="仿宋_GB2312" w:hAnsi="仿宋_GB2312" w:eastAsia="仿宋_GB2312" w:cs="仿宋_GB2312"/>
                <w:b w:val="0"/>
                <w:bCs w:val="0"/>
                <w:color w:val="auto"/>
                <w:sz w:val="24"/>
                <w:szCs w:val="24"/>
              </w:rPr>
              <w:t>按接口标准进行对接的条件。实行专机专用、专网专用，与互联网</w:t>
            </w:r>
            <w:r>
              <w:rPr>
                <w:rFonts w:hint="eastAsia" w:ascii="仿宋_GB2312" w:hAnsi="仿宋_GB2312" w:eastAsia="仿宋_GB2312" w:cs="仿宋_GB2312"/>
                <w:b w:val="0"/>
                <w:bCs w:val="0"/>
                <w:color w:val="auto"/>
                <w:spacing w:val="-1"/>
                <w:sz w:val="24"/>
                <w:szCs w:val="24"/>
              </w:rPr>
              <w:t>物理隔离，严格授权管理，</w:t>
            </w:r>
            <w:r>
              <w:rPr>
                <w:rFonts w:hint="eastAsia" w:ascii="仿宋_GB2312" w:hAnsi="仿宋_GB2312" w:eastAsia="仿宋_GB2312" w:cs="仿宋_GB2312"/>
                <w:b w:val="0"/>
                <w:bCs w:val="0"/>
                <w:color w:val="auto"/>
                <w:sz w:val="24"/>
                <w:szCs w:val="24"/>
              </w:rPr>
              <w:t>按照国家相关法律要求，提供必要的网信安全保障措施，确保录</w:t>
            </w:r>
            <w:r>
              <w:rPr>
                <w:rFonts w:hint="eastAsia" w:ascii="仿宋_GB2312" w:hAnsi="仿宋_GB2312" w:eastAsia="仿宋_GB2312" w:cs="仿宋_GB2312"/>
                <w:b w:val="0"/>
                <w:bCs w:val="0"/>
                <w:color w:val="auto"/>
                <w:spacing w:val="-1"/>
                <w:sz w:val="24"/>
                <w:szCs w:val="24"/>
              </w:rPr>
              <w:t>入信息系统数据真实有效。</w:t>
            </w:r>
          </w:p>
        </w:tc>
        <w:tc>
          <w:tcPr>
            <w:tcW w:w="1249" w:type="dxa"/>
            <w:vAlign w:val="center"/>
          </w:tcPr>
          <w:p w14:paraId="72A3486B">
            <w:pPr>
              <w:pStyle w:val="11"/>
              <w:keepNext w:val="0"/>
              <w:keepLines w:val="0"/>
              <w:pageBreakBefore w:val="0"/>
              <w:widowControl/>
              <w:kinsoku w:val="0"/>
              <w:wordWrap/>
              <w:overflowPunct/>
              <w:topLinePunct w:val="0"/>
              <w:autoSpaceDE w:val="0"/>
              <w:autoSpaceDN w:val="0"/>
              <w:bidi w:val="0"/>
              <w:adjustRightInd w:val="0"/>
              <w:snapToGrid w:val="0"/>
              <w:spacing w:line="312"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r w14:paraId="EAF39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710" w:type="dxa"/>
            <w:vAlign w:val="center"/>
          </w:tcPr>
          <w:p w14:paraId="6BF01192">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1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7</w:t>
            </w:r>
          </w:p>
        </w:tc>
        <w:tc>
          <w:tcPr>
            <w:tcW w:w="1230" w:type="dxa"/>
            <w:vMerge w:val="continue"/>
            <w:vAlign w:val="center"/>
          </w:tcPr>
          <w:p w14:paraId="A1233C5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vAlign w:val="center"/>
          </w:tcPr>
          <w:p w14:paraId="2A833A0C">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423" w:right="172" w:hanging="21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11"/>
                <w:sz w:val="24"/>
                <w:szCs w:val="24"/>
              </w:rPr>
              <w:t>内控管理</w:t>
            </w:r>
            <w:r>
              <w:rPr>
                <w:rFonts w:hint="eastAsia" w:ascii="仿宋_GB2312" w:hAnsi="仿宋_GB2312" w:eastAsia="仿宋_GB2312" w:cs="仿宋_GB2312"/>
                <w:b w:val="0"/>
                <w:bCs w:val="0"/>
                <w:color w:val="auto"/>
                <w:spacing w:val="-9"/>
                <w:sz w:val="24"/>
                <w:szCs w:val="24"/>
              </w:rPr>
              <w:t>制度</w:t>
            </w:r>
          </w:p>
        </w:tc>
        <w:tc>
          <w:tcPr>
            <w:tcW w:w="10136" w:type="dxa"/>
            <w:vAlign w:val="center"/>
          </w:tcPr>
          <w:p w14:paraId="A47912C1">
            <w:pPr>
              <w:pStyle w:val="11"/>
              <w:keepNext w:val="0"/>
              <w:keepLines w:val="0"/>
              <w:pageBreakBefore w:val="0"/>
              <w:widowControl/>
              <w:kinsoku w:val="0"/>
              <w:wordWrap/>
              <w:overflowPunct/>
              <w:topLinePunct w:val="0"/>
              <w:autoSpaceDE w:val="0"/>
              <w:autoSpaceDN w:val="0"/>
              <w:bidi w:val="0"/>
              <w:adjustRightInd w:val="0"/>
              <w:snapToGrid w:val="0"/>
              <w:spacing w:line="246" w:lineRule="auto"/>
              <w:ind w:left="112" w:right="32" w:firstLine="35"/>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3"/>
                <w:sz w:val="24"/>
                <w:szCs w:val="24"/>
              </w:rPr>
              <w:t>申请机构提供的培训管理、安全管理、人员管理、信息管理、内控管理、风险防范</w:t>
            </w:r>
            <w:r>
              <w:rPr>
                <w:rFonts w:hint="eastAsia" w:ascii="仿宋_GB2312" w:hAnsi="仿宋_GB2312" w:eastAsia="仿宋_GB2312" w:cs="仿宋_GB2312"/>
                <w:b w:val="0"/>
                <w:bCs w:val="0"/>
                <w:color w:val="auto"/>
                <w:spacing w:val="-4"/>
                <w:sz w:val="24"/>
                <w:szCs w:val="24"/>
              </w:rPr>
              <w:t>、档案管理、</w:t>
            </w:r>
            <w:r>
              <w:rPr>
                <w:rFonts w:hint="eastAsia" w:ascii="仿宋_GB2312" w:hAnsi="仿宋_GB2312" w:eastAsia="仿宋_GB2312" w:cs="仿宋_GB2312"/>
                <w:b w:val="0"/>
                <w:bCs w:val="0"/>
                <w:color w:val="auto"/>
                <w:spacing w:val="-1"/>
                <w:sz w:val="24"/>
                <w:szCs w:val="24"/>
              </w:rPr>
              <w:t>教育教学制度符合长期护理保险工作实际。</w:t>
            </w:r>
          </w:p>
        </w:tc>
        <w:tc>
          <w:tcPr>
            <w:tcW w:w="1249" w:type="dxa"/>
            <w:vAlign w:val="center"/>
          </w:tcPr>
          <w:p w14:paraId="CB0A63F9">
            <w:pPr>
              <w:pStyle w:val="11"/>
              <w:keepNext w:val="0"/>
              <w:keepLines w:val="0"/>
              <w:pageBreakBefore w:val="0"/>
              <w:widowControl/>
              <w:kinsoku w:val="0"/>
              <w:wordWrap/>
              <w:overflowPunct/>
              <w:topLinePunct w:val="0"/>
              <w:autoSpaceDE w:val="0"/>
              <w:autoSpaceDN w:val="0"/>
              <w:bidi w:val="0"/>
              <w:adjustRightInd w:val="0"/>
              <w:snapToGrid w:val="0"/>
              <w:spacing w:line="295" w:lineRule="auto"/>
              <w:ind w:left="155" w:right="142" w:firstLine="12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6"/>
                <w:sz w:val="24"/>
                <w:szCs w:val="24"/>
              </w:rPr>
              <w:t>符合□</w:t>
            </w:r>
            <w:r>
              <w:rPr>
                <w:rFonts w:hint="eastAsia" w:ascii="仿宋_GB2312" w:hAnsi="仿宋_GB2312" w:eastAsia="仿宋_GB2312" w:cs="仿宋_GB2312"/>
                <w:b w:val="0"/>
                <w:bCs w:val="0"/>
                <w:color w:val="auto"/>
                <w:spacing w:val="-4"/>
                <w:sz w:val="24"/>
                <w:szCs w:val="24"/>
              </w:rPr>
              <w:t>不符合□</w:t>
            </w:r>
          </w:p>
        </w:tc>
      </w:tr>
      <w:tr w14:paraId="6DE9F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710" w:type="dxa"/>
            <w:tcBorders>
              <w:bottom w:val="single" w:color="auto" w:sz="4" w:space="0"/>
            </w:tcBorders>
            <w:vAlign w:val="center"/>
          </w:tcPr>
          <w:p w14:paraId="F379C332">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1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8</w:t>
            </w:r>
          </w:p>
        </w:tc>
        <w:tc>
          <w:tcPr>
            <w:tcW w:w="1230" w:type="dxa"/>
            <w:vMerge w:val="continue"/>
            <w:tcBorders>
              <w:bottom w:val="single" w:color="auto" w:sz="4" w:space="0"/>
            </w:tcBorders>
            <w:vAlign w:val="center"/>
          </w:tcPr>
          <w:p w14:paraId="9C7FE5D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bottom w:val="single" w:color="auto" w:sz="4" w:space="0"/>
            </w:tcBorders>
            <w:vAlign w:val="center"/>
          </w:tcPr>
          <w:p w14:paraId="901B3C7A">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74"/>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2"/>
                <w:sz w:val="24"/>
                <w:szCs w:val="24"/>
              </w:rPr>
              <w:t>档案管理</w:t>
            </w:r>
          </w:p>
        </w:tc>
        <w:tc>
          <w:tcPr>
            <w:tcW w:w="10136" w:type="dxa"/>
            <w:tcBorders>
              <w:bottom w:val="single" w:color="auto" w:sz="4" w:space="0"/>
            </w:tcBorders>
            <w:vAlign w:val="center"/>
          </w:tcPr>
          <w:p w14:paraId="3F8016BC">
            <w:pPr>
              <w:pStyle w:val="11"/>
              <w:keepNext w:val="0"/>
              <w:keepLines w:val="0"/>
              <w:pageBreakBefore w:val="0"/>
              <w:widowControl/>
              <w:kinsoku w:val="0"/>
              <w:wordWrap/>
              <w:overflowPunct/>
              <w:topLinePunct w:val="0"/>
              <w:autoSpaceDE w:val="0"/>
              <w:autoSpaceDN w:val="0"/>
              <w:bidi w:val="0"/>
              <w:adjustRightInd w:val="0"/>
              <w:snapToGrid w:val="0"/>
              <w:spacing w:line="214" w:lineRule="auto"/>
              <w:ind w:left="11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档案由专人负责管理、固定存放区域、一人一档且标识清楚，能根据</w:t>
            </w:r>
            <w:r>
              <w:rPr>
                <w:rFonts w:hint="eastAsia" w:ascii="仿宋_GB2312" w:hAnsi="仿宋_GB2312" w:eastAsia="仿宋_GB2312" w:cs="仿宋_GB2312"/>
                <w:b w:val="0"/>
                <w:bCs w:val="0"/>
                <w:color w:val="auto"/>
                <w:spacing w:val="-1"/>
                <w:sz w:val="24"/>
                <w:szCs w:val="24"/>
              </w:rPr>
              <w:t>工作要求及时调阅。</w:t>
            </w:r>
          </w:p>
        </w:tc>
        <w:tc>
          <w:tcPr>
            <w:tcW w:w="1249" w:type="dxa"/>
            <w:vAlign w:val="center"/>
          </w:tcPr>
          <w:p w14:paraId="2FD9DF84">
            <w:pPr>
              <w:pStyle w:val="11"/>
              <w:keepNext w:val="0"/>
              <w:keepLines w:val="0"/>
              <w:pageBreakBefore w:val="0"/>
              <w:widowControl/>
              <w:kinsoku w:val="0"/>
              <w:wordWrap/>
              <w:overflowPunct/>
              <w:topLinePunct w:val="0"/>
              <w:autoSpaceDE w:val="0"/>
              <w:autoSpaceDN w:val="0"/>
              <w:bidi w:val="0"/>
              <w:adjustRightInd w:val="0"/>
              <w:snapToGrid w:val="0"/>
              <w:spacing w:line="295" w:lineRule="auto"/>
              <w:ind w:right="142"/>
              <w:jc w:val="center"/>
              <w:textAlignment w:val="baseline"/>
              <w:rPr>
                <w:rFonts w:hint="eastAsia" w:ascii="仿宋_GB2312" w:hAnsi="仿宋_GB2312" w:eastAsia="仿宋_GB2312" w:cs="仿宋_GB2312"/>
                <w:b w:val="0"/>
                <w:bCs w:val="0"/>
                <w:color w:val="auto"/>
                <w:spacing w:val="-6"/>
                <w:sz w:val="24"/>
                <w:szCs w:val="24"/>
              </w:rPr>
            </w:pPr>
            <w:r>
              <w:rPr>
                <w:rFonts w:hint="eastAsia" w:ascii="仿宋_GB2312" w:hAnsi="仿宋_GB2312" w:eastAsia="仿宋_GB2312" w:cs="仿宋_GB2312"/>
                <w:b w:val="0"/>
                <w:bCs w:val="0"/>
                <w:color w:val="auto"/>
                <w:spacing w:val="-6"/>
                <w:sz w:val="24"/>
                <w:szCs w:val="24"/>
              </w:rPr>
              <w:t>符合□</w:t>
            </w:r>
          </w:p>
          <w:p w14:paraId="E9E9C83A">
            <w:pPr>
              <w:pStyle w:val="11"/>
              <w:keepNext w:val="0"/>
              <w:keepLines w:val="0"/>
              <w:pageBreakBefore w:val="0"/>
              <w:widowControl/>
              <w:kinsoku w:val="0"/>
              <w:wordWrap/>
              <w:overflowPunct/>
              <w:topLinePunct w:val="0"/>
              <w:autoSpaceDE w:val="0"/>
              <w:autoSpaceDN w:val="0"/>
              <w:bidi w:val="0"/>
              <w:adjustRightInd w:val="0"/>
              <w:snapToGrid w:val="0"/>
              <w:spacing w:line="295" w:lineRule="auto"/>
              <w:ind w:right="142"/>
              <w:jc w:val="center"/>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4"/>
                <w:sz w:val="24"/>
                <w:szCs w:val="24"/>
              </w:rPr>
              <w:t>不符合□</w:t>
            </w:r>
          </w:p>
        </w:tc>
      </w:tr>
      <w:tr w14:paraId="7F492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7" w:hRule="atLeast"/>
        </w:trPr>
        <w:tc>
          <w:tcPr>
            <w:tcW w:w="710" w:type="dxa"/>
            <w:tcBorders>
              <w:top w:val="single" w:color="auto" w:sz="4" w:space="0"/>
              <w:left w:val="single" w:color="auto" w:sz="4" w:space="0"/>
              <w:bottom w:val="single" w:color="auto" w:sz="4" w:space="0"/>
            </w:tcBorders>
            <w:vAlign w:val="center"/>
          </w:tcPr>
          <w:p w14:paraId="75EFFD16">
            <w:pPr>
              <w:keepNext w:val="0"/>
              <w:keepLines w:val="0"/>
              <w:pageBreakBefore w:val="0"/>
              <w:widowControl/>
              <w:kinsoku w:val="0"/>
              <w:wordWrap/>
              <w:overflowPunct/>
              <w:topLinePunct w:val="0"/>
              <w:autoSpaceDE w:val="0"/>
              <w:autoSpaceDN w:val="0"/>
              <w:bidi w:val="0"/>
              <w:adjustRightInd w:val="0"/>
              <w:snapToGrid w:val="0"/>
              <w:spacing w:line="283" w:lineRule="auto"/>
              <w:textAlignment w:val="baseline"/>
              <w:rPr>
                <w:rFonts w:hint="eastAsia" w:ascii="仿宋_GB2312" w:hAnsi="仿宋_GB2312" w:eastAsia="仿宋_GB2312" w:cs="仿宋_GB2312"/>
                <w:b w:val="0"/>
                <w:bCs w:val="0"/>
                <w:color w:val="auto"/>
                <w:sz w:val="24"/>
                <w:szCs w:val="24"/>
              </w:rPr>
            </w:pPr>
          </w:p>
          <w:p w14:paraId="171F8D57">
            <w:pPr>
              <w:pStyle w:val="11"/>
              <w:keepNext w:val="0"/>
              <w:keepLines w:val="0"/>
              <w:pageBreakBefore w:val="0"/>
              <w:widowControl/>
              <w:kinsoku w:val="0"/>
              <w:wordWrap/>
              <w:overflowPunct/>
              <w:topLinePunct w:val="0"/>
              <w:autoSpaceDE w:val="0"/>
              <w:autoSpaceDN w:val="0"/>
              <w:bidi w:val="0"/>
              <w:adjustRightInd w:val="0"/>
              <w:snapToGrid w:val="0"/>
              <w:spacing w:line="236" w:lineRule="auto"/>
              <w:textAlignment w:val="baseline"/>
              <w:rPr>
                <w:rFonts w:hint="eastAsia" w:ascii="仿宋_GB2312" w:hAnsi="仿宋_GB2312" w:eastAsia="仿宋_GB2312" w:cs="仿宋_GB2312"/>
                <w:b w:val="0"/>
                <w:bCs w:val="0"/>
                <w:color w:val="auto"/>
                <w:sz w:val="24"/>
                <w:szCs w:val="24"/>
              </w:rPr>
            </w:pPr>
          </w:p>
          <w:p w14:paraId="DDDFD20E">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13"/>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9</w:t>
            </w:r>
          </w:p>
        </w:tc>
        <w:tc>
          <w:tcPr>
            <w:tcW w:w="1230" w:type="dxa"/>
            <w:vMerge w:val="restart"/>
            <w:tcBorders>
              <w:top w:val="single" w:color="auto" w:sz="4" w:space="0"/>
              <w:right w:val="single" w:color="auto" w:sz="4" w:space="0"/>
            </w:tcBorders>
            <w:vAlign w:val="center"/>
          </w:tcPr>
          <w:p w14:paraId="D0EB8618">
            <w:pPr>
              <w:keepNext w:val="0"/>
              <w:keepLines w:val="0"/>
              <w:pageBreakBefore w:val="0"/>
              <w:widowControl/>
              <w:kinsoku w:val="0"/>
              <w:wordWrap/>
              <w:overflowPunct/>
              <w:topLinePunct w:val="0"/>
              <w:autoSpaceDE w:val="0"/>
              <w:autoSpaceDN w:val="0"/>
              <w:bidi w:val="0"/>
              <w:adjustRightInd w:val="0"/>
              <w:snapToGrid w:val="0"/>
              <w:spacing w:line="256" w:lineRule="auto"/>
              <w:jc w:val="center"/>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p>
          <w:p w14:paraId="3854F7C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r>
              <w:rPr>
                <w:rFonts w:hint="eastAsia" w:ascii="仿宋_GB2312" w:hAnsi="仿宋_GB2312" w:eastAsia="仿宋_GB2312" w:cs="仿宋_GB2312"/>
                <w:b w:val="0"/>
                <w:bCs w:val="0"/>
                <w:snapToGrid w:val="0"/>
                <w:color w:val="auto"/>
                <w:spacing w:val="-2"/>
                <w:kern w:val="0"/>
                <w:sz w:val="24"/>
                <w:szCs w:val="24"/>
                <w:lang w:val="en-US" w:eastAsia="en-US" w:bidi="ar-SA"/>
              </w:rPr>
              <w:t>综合指标</w:t>
            </w:r>
          </w:p>
          <w:p w14:paraId="FA37E98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r>
              <w:rPr>
                <w:rFonts w:hint="eastAsia" w:ascii="仿宋_GB2312" w:hAnsi="仿宋_GB2312" w:eastAsia="仿宋_GB2312" w:cs="仿宋_GB2312"/>
                <w:b w:val="0"/>
                <w:bCs w:val="0"/>
                <w:snapToGrid w:val="0"/>
                <w:color w:val="auto"/>
                <w:spacing w:val="-2"/>
                <w:kern w:val="0"/>
                <w:sz w:val="24"/>
                <w:szCs w:val="24"/>
                <w:lang w:val="en-US" w:eastAsia="en-US" w:bidi="ar-SA"/>
              </w:rPr>
              <w:t>评分</w:t>
            </w:r>
          </w:p>
          <w:p w14:paraId="5262CAC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p w14:paraId="3BEC14F4">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top w:val="single" w:color="auto" w:sz="4" w:space="0"/>
              <w:left w:val="single" w:color="auto" w:sz="4" w:space="0"/>
              <w:bottom w:val="single" w:color="auto" w:sz="4" w:space="0"/>
            </w:tcBorders>
            <w:vAlign w:val="center"/>
          </w:tcPr>
          <w:p w14:paraId="C27B35CF">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3"/>
                <w:sz w:val="24"/>
                <w:szCs w:val="24"/>
              </w:rPr>
              <w:t>设施设备</w:t>
            </w:r>
            <w:r>
              <w:rPr>
                <w:rFonts w:hint="eastAsia" w:ascii="仿宋_GB2312" w:hAnsi="仿宋_GB2312" w:eastAsia="仿宋_GB2312" w:cs="仿宋_GB2312"/>
                <w:b w:val="0"/>
                <w:bCs w:val="0"/>
                <w:color w:val="auto"/>
                <w:spacing w:val="-15"/>
                <w:sz w:val="24"/>
                <w:szCs w:val="24"/>
              </w:rPr>
              <w:t>（</w:t>
            </w:r>
            <w:r>
              <w:rPr>
                <w:rFonts w:hint="eastAsia" w:ascii="仿宋_GB2312" w:hAnsi="仿宋_GB2312" w:eastAsia="仿宋_GB2312" w:cs="仿宋_GB2312"/>
                <w:b w:val="0"/>
                <w:bCs w:val="0"/>
                <w:color w:val="auto"/>
                <w:spacing w:val="-70"/>
                <w:sz w:val="24"/>
                <w:szCs w:val="24"/>
              </w:rPr>
              <w:t xml:space="preserve"> </w:t>
            </w:r>
            <w:r>
              <w:rPr>
                <w:rFonts w:hint="eastAsia" w:ascii="仿宋_GB2312" w:hAnsi="仿宋_GB2312" w:eastAsia="仿宋_GB2312" w:cs="仿宋_GB2312"/>
                <w:b w:val="0"/>
                <w:bCs w:val="0"/>
                <w:color w:val="auto"/>
                <w:spacing w:val="-15"/>
                <w:sz w:val="24"/>
                <w:szCs w:val="24"/>
                <w:lang w:val="en-US" w:eastAsia="zh-CN"/>
              </w:rPr>
              <w:t>30</w:t>
            </w:r>
            <w:r>
              <w:rPr>
                <w:rFonts w:hint="eastAsia" w:ascii="仿宋_GB2312" w:hAnsi="仿宋_GB2312" w:eastAsia="仿宋_GB2312" w:cs="仿宋_GB2312"/>
                <w:b w:val="0"/>
                <w:bCs w:val="0"/>
                <w:color w:val="auto"/>
                <w:spacing w:val="-15"/>
                <w:sz w:val="24"/>
                <w:szCs w:val="24"/>
              </w:rPr>
              <w:t>分）</w:t>
            </w:r>
          </w:p>
        </w:tc>
        <w:tc>
          <w:tcPr>
            <w:tcW w:w="10136" w:type="dxa"/>
            <w:tcBorders>
              <w:right w:val="single" w:color="auto" w:sz="4" w:space="0"/>
            </w:tcBorders>
            <w:vAlign w:val="center"/>
          </w:tcPr>
          <w:p w14:paraId="6727F9FE">
            <w:pPr>
              <w:pStyle w:val="11"/>
              <w:keepNext w:val="0"/>
              <w:keepLines w:val="0"/>
              <w:pageBreakBefore w:val="0"/>
              <w:widowControl/>
              <w:kinsoku w:val="0"/>
              <w:wordWrap/>
              <w:overflowPunct/>
              <w:topLinePunct w:val="0"/>
              <w:autoSpaceDE w:val="0"/>
              <w:autoSpaceDN w:val="0"/>
              <w:bidi w:val="0"/>
              <w:adjustRightInd w:val="0"/>
              <w:snapToGrid w:val="0"/>
              <w:spacing w:line="245" w:lineRule="auto"/>
              <w:ind w:left="113" w:right="187" w:firstLine="11"/>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3"/>
                <w:sz w:val="24"/>
                <w:szCs w:val="24"/>
              </w:rPr>
              <w:t>1.拥有至少</w:t>
            </w:r>
            <w:r>
              <w:rPr>
                <w:rFonts w:hint="eastAsia" w:ascii="仿宋_GB2312" w:hAnsi="仿宋_GB2312" w:eastAsia="仿宋_GB2312" w:cs="仿宋_GB2312"/>
                <w:b w:val="0"/>
                <w:bCs w:val="0"/>
                <w:color w:val="auto"/>
                <w:spacing w:val="-34"/>
                <w:sz w:val="24"/>
                <w:szCs w:val="24"/>
              </w:rPr>
              <w:t xml:space="preserve"> </w:t>
            </w:r>
            <w:r>
              <w:rPr>
                <w:rFonts w:hint="eastAsia" w:ascii="仿宋_GB2312" w:hAnsi="仿宋_GB2312" w:eastAsia="仿宋_GB2312" w:cs="仿宋_GB2312"/>
                <w:b w:val="0"/>
                <w:bCs w:val="0"/>
                <w:color w:val="auto"/>
                <w:spacing w:val="-3"/>
                <w:sz w:val="24"/>
                <w:szCs w:val="24"/>
              </w:rPr>
              <w:t>1</w:t>
            </w:r>
            <w:r>
              <w:rPr>
                <w:rFonts w:hint="eastAsia" w:ascii="仿宋_GB2312" w:hAnsi="仿宋_GB2312" w:eastAsia="仿宋_GB2312" w:cs="仿宋_GB2312"/>
                <w:b w:val="0"/>
                <w:bCs w:val="0"/>
                <w:color w:val="auto"/>
                <w:spacing w:val="-25"/>
                <w:sz w:val="24"/>
                <w:szCs w:val="24"/>
              </w:rPr>
              <w:t xml:space="preserve"> </w:t>
            </w:r>
            <w:r>
              <w:rPr>
                <w:rFonts w:hint="eastAsia" w:ascii="仿宋_GB2312" w:hAnsi="仿宋_GB2312" w:eastAsia="仿宋_GB2312" w:cs="仿宋_GB2312"/>
                <w:b w:val="0"/>
                <w:bCs w:val="0"/>
                <w:color w:val="auto"/>
                <w:spacing w:val="-3"/>
                <w:sz w:val="24"/>
                <w:szCs w:val="24"/>
              </w:rPr>
              <w:t>间标准理论教室，配备基础多媒体</w:t>
            </w:r>
            <w:r>
              <w:rPr>
                <w:rFonts w:hint="eastAsia" w:ascii="仿宋_GB2312" w:hAnsi="仿宋_GB2312" w:eastAsia="仿宋_GB2312" w:cs="仿宋_GB2312"/>
                <w:b w:val="0"/>
                <w:bCs w:val="0"/>
                <w:color w:val="auto"/>
                <w:spacing w:val="-4"/>
                <w:sz w:val="24"/>
                <w:szCs w:val="24"/>
              </w:rPr>
              <w:t>设备（投影、音响、电脑</w:t>
            </w:r>
            <w:r>
              <w:rPr>
                <w:rFonts w:hint="eastAsia" w:ascii="仿宋_GB2312" w:hAnsi="仿宋_GB2312" w:eastAsia="仿宋_GB2312" w:cs="仿宋_GB2312"/>
                <w:b w:val="0"/>
                <w:bCs w:val="0"/>
                <w:color w:val="auto"/>
                <w:spacing w:val="6"/>
                <w:sz w:val="24"/>
                <w:szCs w:val="24"/>
              </w:rPr>
              <w:t>），</w:t>
            </w:r>
            <w:r>
              <w:rPr>
                <w:rFonts w:hint="eastAsia" w:ascii="仿宋_GB2312" w:hAnsi="仿宋_GB2312" w:eastAsia="仿宋_GB2312" w:cs="仿宋_GB2312"/>
                <w:b w:val="0"/>
                <w:bCs w:val="0"/>
                <w:color w:val="auto"/>
                <w:spacing w:val="-4"/>
                <w:sz w:val="24"/>
                <w:szCs w:val="24"/>
              </w:rPr>
              <w:t>得</w:t>
            </w:r>
            <w:r>
              <w:rPr>
                <w:rFonts w:hint="eastAsia" w:ascii="仿宋_GB2312" w:hAnsi="仿宋_GB2312" w:eastAsia="仿宋_GB2312" w:cs="仿宋_GB2312"/>
                <w:b w:val="0"/>
                <w:bCs w:val="0"/>
                <w:color w:val="auto"/>
                <w:spacing w:val="-32"/>
                <w:sz w:val="24"/>
                <w:szCs w:val="24"/>
              </w:rPr>
              <w:t xml:space="preserve"> </w:t>
            </w:r>
            <w:r>
              <w:rPr>
                <w:rFonts w:hint="eastAsia" w:ascii="仿宋_GB2312" w:hAnsi="仿宋_GB2312" w:eastAsia="仿宋_GB2312" w:cs="仿宋_GB2312"/>
                <w:b w:val="0"/>
                <w:bCs w:val="0"/>
                <w:color w:val="auto"/>
                <w:spacing w:val="-4"/>
                <w:sz w:val="24"/>
                <w:szCs w:val="24"/>
              </w:rPr>
              <w:t>3</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4"/>
                <w:sz w:val="24"/>
                <w:szCs w:val="24"/>
              </w:rPr>
              <w:t>分。</w:t>
            </w:r>
            <w:r>
              <w:rPr>
                <w:rFonts w:hint="eastAsia" w:ascii="仿宋_GB2312" w:hAnsi="仿宋_GB2312" w:eastAsia="仿宋_GB2312" w:cs="仿宋_GB2312"/>
                <w:b w:val="0"/>
                <w:bCs w:val="0"/>
                <w:color w:val="auto"/>
                <w:spacing w:val="-4"/>
                <w:sz w:val="24"/>
                <w:szCs w:val="24"/>
                <w:highlight w:val="none"/>
              </w:rPr>
              <w:t>教室具</w:t>
            </w:r>
            <w:r>
              <w:rPr>
                <w:rFonts w:hint="eastAsia" w:ascii="仿宋_GB2312" w:hAnsi="仿宋_GB2312" w:eastAsia="仿宋_GB2312" w:cs="仿宋_GB2312"/>
                <w:b w:val="0"/>
                <w:bCs w:val="0"/>
                <w:color w:val="auto"/>
                <w:sz w:val="24"/>
                <w:szCs w:val="24"/>
                <w:highlight w:val="none"/>
              </w:rPr>
              <w:t>备高级教学功能，如高清显示屏幕、专业扩声</w:t>
            </w:r>
            <w:r>
              <w:rPr>
                <w:rFonts w:hint="eastAsia" w:ascii="仿宋_GB2312" w:hAnsi="仿宋_GB2312" w:eastAsia="仿宋_GB2312" w:cs="仿宋_GB2312"/>
                <w:b w:val="0"/>
                <w:bCs w:val="0"/>
                <w:color w:val="auto"/>
                <w:spacing w:val="-1"/>
                <w:sz w:val="24"/>
                <w:szCs w:val="24"/>
                <w:highlight w:val="none"/>
              </w:rPr>
              <w:t>系统等</w:t>
            </w:r>
            <w:r>
              <w:rPr>
                <w:rFonts w:hint="eastAsia" w:ascii="仿宋_GB2312" w:hAnsi="仿宋_GB2312" w:eastAsia="仿宋_GB2312" w:cs="仿宋_GB2312"/>
                <w:b w:val="0"/>
                <w:bCs w:val="0"/>
                <w:color w:val="auto"/>
                <w:spacing w:val="-1"/>
                <w:sz w:val="24"/>
                <w:szCs w:val="24"/>
              </w:rPr>
              <w:t>，</w:t>
            </w:r>
            <w:r>
              <w:rPr>
                <w:rFonts w:hint="eastAsia" w:ascii="仿宋_GB2312" w:hAnsi="仿宋_GB2312" w:eastAsia="仿宋_GB2312" w:cs="仿宋_GB2312"/>
                <w:b w:val="0"/>
                <w:bCs w:val="0"/>
                <w:color w:val="auto"/>
                <w:sz w:val="24"/>
                <w:szCs w:val="24"/>
                <w:lang w:eastAsia="zh-CN"/>
              </w:rPr>
              <w:t>有</w:t>
            </w:r>
            <w:r>
              <w:rPr>
                <w:rFonts w:hint="eastAsia" w:ascii="仿宋_GB2312" w:hAnsi="仿宋_GB2312" w:eastAsia="仿宋_GB2312" w:cs="仿宋_GB2312"/>
                <w:b w:val="0"/>
                <w:bCs w:val="0"/>
                <w:color w:val="auto"/>
                <w:sz w:val="24"/>
                <w:szCs w:val="24"/>
              </w:rPr>
              <w:t>固</w:t>
            </w:r>
            <w:r>
              <w:rPr>
                <w:rFonts w:hint="eastAsia" w:ascii="仿宋_GB2312" w:hAnsi="仿宋_GB2312" w:eastAsia="仿宋_GB2312" w:cs="仿宋_GB2312"/>
                <w:b w:val="0"/>
                <w:bCs w:val="0"/>
                <w:color w:val="auto"/>
                <w:spacing w:val="-1"/>
                <w:sz w:val="24"/>
                <w:szCs w:val="24"/>
              </w:rPr>
              <w:t>定的分组讨论区、支持案例教学</w:t>
            </w:r>
            <w:r>
              <w:rPr>
                <w:rFonts w:hint="eastAsia" w:ascii="仿宋_GB2312" w:hAnsi="仿宋_GB2312" w:eastAsia="仿宋_GB2312" w:cs="仿宋_GB2312"/>
                <w:b w:val="0"/>
                <w:bCs w:val="0"/>
                <w:color w:val="auto"/>
                <w:spacing w:val="-2"/>
                <w:sz w:val="24"/>
                <w:szCs w:val="24"/>
              </w:rPr>
              <w:t>与角色扮演的布局等，</w:t>
            </w:r>
            <w:r>
              <w:rPr>
                <w:rFonts w:hint="eastAsia" w:ascii="仿宋_GB2312" w:hAnsi="仿宋_GB2312" w:eastAsia="仿宋_GB2312" w:cs="仿宋_GB2312"/>
                <w:b w:val="0"/>
                <w:bCs w:val="0"/>
                <w:color w:val="auto"/>
                <w:spacing w:val="-3"/>
                <w:sz w:val="24"/>
                <w:szCs w:val="24"/>
                <w:lang w:eastAsia="zh-CN"/>
              </w:rPr>
              <w:t>得</w:t>
            </w:r>
            <w:r>
              <w:rPr>
                <w:rFonts w:hint="eastAsia" w:ascii="仿宋_GB2312" w:hAnsi="仿宋_GB2312" w:eastAsia="仿宋_GB2312" w:cs="仿宋_GB2312"/>
                <w:b w:val="0"/>
                <w:bCs w:val="0"/>
                <w:color w:val="auto"/>
                <w:spacing w:val="-3"/>
                <w:sz w:val="24"/>
                <w:szCs w:val="24"/>
                <w:lang w:val="en-US" w:eastAsia="zh-CN"/>
              </w:rPr>
              <w:t xml:space="preserve"> </w:t>
            </w:r>
            <w:r>
              <w:rPr>
                <w:rFonts w:hint="eastAsia" w:ascii="仿宋_GB2312" w:hAnsi="仿宋_GB2312" w:eastAsia="仿宋_GB2312" w:cs="仿宋_GB2312"/>
                <w:b w:val="0"/>
                <w:bCs w:val="0"/>
                <w:color w:val="auto"/>
                <w:spacing w:val="-41"/>
                <w:sz w:val="24"/>
                <w:szCs w:val="24"/>
              </w:rPr>
              <w:t xml:space="preserve"> </w:t>
            </w:r>
            <w:r>
              <w:rPr>
                <w:rFonts w:hint="eastAsia" w:ascii="仿宋_GB2312" w:hAnsi="仿宋_GB2312" w:eastAsia="仿宋_GB2312" w:cs="仿宋_GB2312"/>
                <w:b w:val="0"/>
                <w:bCs w:val="0"/>
                <w:color w:val="auto"/>
                <w:spacing w:val="-3"/>
                <w:sz w:val="24"/>
                <w:szCs w:val="24"/>
              </w:rPr>
              <w:t>2</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49"/>
                <w:sz w:val="24"/>
                <w:szCs w:val="24"/>
                <w:lang w:val="en-US" w:eastAsia="zh-CN"/>
              </w:rPr>
              <w:t xml:space="preserve"> </w:t>
            </w:r>
            <w:r>
              <w:rPr>
                <w:rFonts w:hint="eastAsia" w:ascii="仿宋_GB2312" w:hAnsi="仿宋_GB2312" w:eastAsia="仿宋_GB2312" w:cs="仿宋_GB2312"/>
                <w:b w:val="0"/>
                <w:bCs w:val="0"/>
                <w:color w:val="auto"/>
                <w:spacing w:val="-3"/>
                <w:sz w:val="24"/>
                <w:szCs w:val="24"/>
              </w:rPr>
              <w:t>分。在满足上述至少</w:t>
            </w:r>
            <w:r>
              <w:rPr>
                <w:rFonts w:hint="eastAsia" w:ascii="仿宋_GB2312" w:hAnsi="仿宋_GB2312" w:eastAsia="仿宋_GB2312" w:cs="仿宋_GB2312"/>
                <w:b w:val="0"/>
                <w:bCs w:val="0"/>
                <w:color w:val="auto"/>
                <w:spacing w:val="-36"/>
                <w:sz w:val="24"/>
                <w:szCs w:val="24"/>
              </w:rPr>
              <w:t xml:space="preserve"> </w:t>
            </w:r>
            <w:r>
              <w:rPr>
                <w:rFonts w:hint="eastAsia" w:ascii="仿宋_GB2312" w:hAnsi="仿宋_GB2312" w:eastAsia="仿宋_GB2312" w:cs="仿宋_GB2312"/>
                <w:b w:val="0"/>
                <w:bCs w:val="0"/>
                <w:color w:val="auto"/>
                <w:spacing w:val="-3"/>
                <w:sz w:val="24"/>
                <w:szCs w:val="24"/>
              </w:rPr>
              <w:t>1</w:t>
            </w:r>
            <w:r>
              <w:rPr>
                <w:rFonts w:hint="eastAsia" w:ascii="仿宋_GB2312" w:hAnsi="仿宋_GB2312" w:eastAsia="仿宋_GB2312" w:cs="仿宋_GB2312"/>
                <w:b w:val="0"/>
                <w:bCs w:val="0"/>
                <w:color w:val="auto"/>
                <w:spacing w:val="-25"/>
                <w:sz w:val="24"/>
                <w:szCs w:val="24"/>
              </w:rPr>
              <w:t xml:space="preserve"> </w:t>
            </w:r>
            <w:r>
              <w:rPr>
                <w:rFonts w:hint="eastAsia" w:ascii="仿宋_GB2312" w:hAnsi="仿宋_GB2312" w:eastAsia="仿宋_GB2312" w:cs="仿宋_GB2312"/>
                <w:b w:val="0"/>
                <w:bCs w:val="0"/>
                <w:color w:val="auto"/>
                <w:spacing w:val="-3"/>
                <w:sz w:val="24"/>
                <w:szCs w:val="24"/>
              </w:rPr>
              <w:t>间教室的基础上，每增加</w:t>
            </w:r>
            <w:r>
              <w:rPr>
                <w:rFonts w:hint="eastAsia" w:ascii="仿宋_GB2312" w:hAnsi="仿宋_GB2312" w:eastAsia="仿宋_GB2312" w:cs="仿宋_GB2312"/>
                <w:b w:val="0"/>
                <w:bCs w:val="0"/>
                <w:color w:val="auto"/>
                <w:spacing w:val="-21"/>
                <w:sz w:val="24"/>
                <w:szCs w:val="24"/>
              </w:rPr>
              <w:t xml:space="preserve"> </w:t>
            </w:r>
            <w:r>
              <w:rPr>
                <w:rFonts w:hint="eastAsia" w:ascii="仿宋_GB2312" w:hAnsi="仿宋_GB2312" w:eastAsia="仿宋_GB2312" w:cs="仿宋_GB2312"/>
                <w:b w:val="0"/>
                <w:bCs w:val="0"/>
                <w:color w:val="auto"/>
                <w:spacing w:val="-3"/>
                <w:sz w:val="24"/>
                <w:szCs w:val="24"/>
              </w:rPr>
              <w:t>1</w:t>
            </w:r>
            <w:r>
              <w:rPr>
                <w:rFonts w:hint="eastAsia" w:ascii="仿宋_GB2312" w:hAnsi="仿宋_GB2312" w:eastAsia="仿宋_GB2312" w:cs="仿宋_GB2312"/>
                <w:b w:val="0"/>
                <w:bCs w:val="0"/>
                <w:color w:val="auto"/>
                <w:spacing w:val="-26"/>
                <w:sz w:val="24"/>
                <w:szCs w:val="24"/>
              </w:rPr>
              <w:t xml:space="preserve"> </w:t>
            </w:r>
            <w:r>
              <w:rPr>
                <w:rFonts w:hint="eastAsia" w:ascii="仿宋_GB2312" w:hAnsi="仿宋_GB2312" w:eastAsia="仿宋_GB2312" w:cs="仿宋_GB2312"/>
                <w:b w:val="0"/>
                <w:bCs w:val="0"/>
                <w:color w:val="auto"/>
                <w:spacing w:val="-3"/>
                <w:sz w:val="24"/>
                <w:szCs w:val="24"/>
              </w:rPr>
              <w:t>间标准理论教室，</w:t>
            </w:r>
            <w:r>
              <w:rPr>
                <w:rFonts w:hint="eastAsia" w:ascii="仿宋_GB2312" w:hAnsi="仿宋_GB2312" w:eastAsia="仿宋_GB2312" w:cs="仿宋_GB2312"/>
                <w:b w:val="0"/>
                <w:bCs w:val="0"/>
                <w:color w:val="auto"/>
                <w:spacing w:val="-3"/>
                <w:sz w:val="24"/>
                <w:szCs w:val="24"/>
                <w:lang w:eastAsia="zh-CN"/>
              </w:rPr>
              <w:t>得</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3"/>
                <w:sz w:val="24"/>
                <w:szCs w:val="24"/>
                <w:lang w:val="en-US" w:eastAsia="zh-CN"/>
              </w:rPr>
              <w:t xml:space="preserve">1 </w:t>
            </w:r>
            <w:r>
              <w:rPr>
                <w:rFonts w:hint="eastAsia" w:ascii="仿宋_GB2312" w:hAnsi="仿宋_GB2312" w:eastAsia="仿宋_GB2312" w:cs="仿宋_GB2312"/>
                <w:b w:val="0"/>
                <w:bCs w:val="0"/>
                <w:color w:val="auto"/>
                <w:spacing w:val="-3"/>
                <w:sz w:val="24"/>
                <w:szCs w:val="24"/>
              </w:rPr>
              <w:t>分。若增加的教室同时具备前述高级教学功能或专业化设</w:t>
            </w:r>
            <w:r>
              <w:rPr>
                <w:rFonts w:hint="eastAsia" w:ascii="仿宋_GB2312" w:hAnsi="仿宋_GB2312" w:eastAsia="仿宋_GB2312" w:cs="仿宋_GB2312"/>
                <w:b w:val="0"/>
                <w:bCs w:val="0"/>
                <w:color w:val="auto"/>
                <w:spacing w:val="-4"/>
                <w:sz w:val="24"/>
                <w:szCs w:val="24"/>
              </w:rPr>
              <w:t>计，则每间可</w:t>
            </w:r>
            <w:r>
              <w:rPr>
                <w:rFonts w:hint="eastAsia" w:ascii="仿宋_GB2312" w:hAnsi="仿宋_GB2312" w:eastAsia="仿宋_GB2312" w:cs="仿宋_GB2312"/>
                <w:b w:val="0"/>
                <w:bCs w:val="0"/>
                <w:color w:val="auto"/>
                <w:spacing w:val="-4"/>
                <w:sz w:val="24"/>
                <w:szCs w:val="24"/>
                <w:lang w:eastAsia="zh-CN"/>
              </w:rPr>
              <w:t>得</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4"/>
                <w:sz w:val="24"/>
                <w:szCs w:val="24"/>
              </w:rPr>
              <w:t>1</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4"/>
                <w:sz w:val="24"/>
                <w:szCs w:val="24"/>
              </w:rPr>
              <w:t>分。本项最高得</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4"/>
                <w:sz w:val="24"/>
                <w:szCs w:val="24"/>
                <w:lang w:val="en-US" w:eastAsia="zh-CN"/>
              </w:rPr>
              <w:t>15</w:t>
            </w:r>
            <w:r>
              <w:rPr>
                <w:rFonts w:hint="eastAsia" w:ascii="仿宋_GB2312" w:hAnsi="仿宋_GB2312" w:eastAsia="仿宋_GB2312" w:cs="仿宋_GB2312"/>
                <w:b w:val="0"/>
                <w:bCs w:val="0"/>
                <w:color w:val="auto"/>
                <w:spacing w:val="-47"/>
                <w:sz w:val="24"/>
                <w:szCs w:val="24"/>
              </w:rPr>
              <w:t xml:space="preserve"> </w:t>
            </w:r>
            <w:r>
              <w:rPr>
                <w:rFonts w:hint="eastAsia" w:ascii="仿宋_GB2312" w:hAnsi="仿宋_GB2312" w:eastAsia="仿宋_GB2312" w:cs="仿宋_GB2312"/>
                <w:b w:val="0"/>
                <w:bCs w:val="0"/>
                <w:color w:val="auto"/>
                <w:spacing w:val="-4"/>
                <w:sz w:val="24"/>
                <w:szCs w:val="24"/>
              </w:rPr>
              <w:t>分。</w:t>
            </w:r>
          </w:p>
          <w:p w14:paraId="0B26A81A">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112" w:right="187" w:firstLine="9"/>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3"/>
                <w:sz w:val="24"/>
                <w:szCs w:val="24"/>
              </w:rPr>
              <w:t>2.拥有至少</w:t>
            </w:r>
            <w:r>
              <w:rPr>
                <w:rFonts w:hint="eastAsia" w:ascii="仿宋_GB2312" w:hAnsi="仿宋_GB2312" w:eastAsia="仿宋_GB2312" w:cs="仿宋_GB2312"/>
                <w:b w:val="0"/>
                <w:bCs w:val="0"/>
                <w:color w:val="auto"/>
                <w:spacing w:val="-28"/>
                <w:sz w:val="24"/>
                <w:szCs w:val="24"/>
              </w:rPr>
              <w:t xml:space="preserve"> </w:t>
            </w:r>
            <w:r>
              <w:rPr>
                <w:rFonts w:hint="eastAsia" w:ascii="仿宋_GB2312" w:hAnsi="仿宋_GB2312" w:eastAsia="仿宋_GB2312" w:cs="仿宋_GB2312"/>
                <w:b w:val="0"/>
                <w:bCs w:val="0"/>
                <w:color w:val="auto"/>
                <w:spacing w:val="-3"/>
                <w:sz w:val="24"/>
                <w:szCs w:val="24"/>
              </w:rPr>
              <w:t>1</w:t>
            </w:r>
            <w:r>
              <w:rPr>
                <w:rFonts w:hint="eastAsia" w:ascii="仿宋_GB2312" w:hAnsi="仿宋_GB2312" w:eastAsia="仿宋_GB2312" w:cs="仿宋_GB2312"/>
                <w:b w:val="0"/>
                <w:bCs w:val="0"/>
                <w:color w:val="auto"/>
                <w:spacing w:val="-26"/>
                <w:sz w:val="24"/>
                <w:szCs w:val="24"/>
              </w:rPr>
              <w:t xml:space="preserve"> </w:t>
            </w:r>
            <w:r>
              <w:rPr>
                <w:rFonts w:hint="eastAsia" w:ascii="仿宋_GB2312" w:hAnsi="仿宋_GB2312" w:eastAsia="仿宋_GB2312" w:cs="仿宋_GB2312"/>
                <w:b w:val="0"/>
                <w:bCs w:val="0"/>
                <w:color w:val="auto"/>
                <w:spacing w:val="-3"/>
                <w:sz w:val="24"/>
                <w:szCs w:val="24"/>
              </w:rPr>
              <w:t>间实操演练教室，得</w:t>
            </w:r>
            <w:r>
              <w:rPr>
                <w:rFonts w:hint="eastAsia" w:ascii="仿宋_GB2312" w:hAnsi="仿宋_GB2312" w:eastAsia="仿宋_GB2312" w:cs="仿宋_GB2312"/>
                <w:b w:val="0"/>
                <w:bCs w:val="0"/>
                <w:color w:val="auto"/>
                <w:spacing w:val="-32"/>
                <w:sz w:val="24"/>
                <w:szCs w:val="24"/>
              </w:rPr>
              <w:t xml:space="preserve"> </w:t>
            </w:r>
            <w:r>
              <w:rPr>
                <w:rFonts w:hint="eastAsia" w:ascii="仿宋_GB2312" w:hAnsi="仿宋_GB2312" w:eastAsia="仿宋_GB2312" w:cs="仿宋_GB2312"/>
                <w:b w:val="0"/>
                <w:bCs w:val="0"/>
                <w:color w:val="auto"/>
                <w:spacing w:val="-3"/>
                <w:sz w:val="24"/>
                <w:szCs w:val="24"/>
              </w:rPr>
              <w:t>3</w:t>
            </w:r>
            <w:r>
              <w:rPr>
                <w:rFonts w:hint="eastAsia" w:ascii="仿宋_GB2312" w:hAnsi="仿宋_GB2312" w:eastAsia="仿宋_GB2312" w:cs="仿宋_GB2312"/>
                <w:b w:val="0"/>
                <w:bCs w:val="0"/>
                <w:color w:val="auto"/>
                <w:spacing w:val="-48"/>
                <w:sz w:val="24"/>
                <w:szCs w:val="24"/>
              </w:rPr>
              <w:t xml:space="preserve"> </w:t>
            </w:r>
            <w:r>
              <w:rPr>
                <w:rFonts w:hint="eastAsia" w:ascii="仿宋_GB2312" w:hAnsi="仿宋_GB2312" w:eastAsia="仿宋_GB2312" w:cs="仿宋_GB2312"/>
                <w:b w:val="0"/>
                <w:bCs w:val="0"/>
                <w:color w:val="auto"/>
                <w:spacing w:val="-3"/>
                <w:sz w:val="24"/>
                <w:szCs w:val="24"/>
              </w:rPr>
              <w:t>分，能够模拟居家、社区、或机构等不同养老环境，并配</w:t>
            </w:r>
            <w:r>
              <w:rPr>
                <w:rFonts w:hint="eastAsia" w:ascii="仿宋_GB2312" w:hAnsi="仿宋_GB2312" w:eastAsia="仿宋_GB2312" w:cs="仿宋_GB2312"/>
                <w:b w:val="0"/>
                <w:bCs w:val="0"/>
                <w:color w:val="auto"/>
                <w:spacing w:val="-2"/>
                <w:sz w:val="24"/>
                <w:szCs w:val="24"/>
              </w:rPr>
              <w:t>备完成标准化评估所必需的辅助器具和场景（如：模拟床、轮椅、</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2"/>
                <w:sz w:val="24"/>
                <w:szCs w:val="24"/>
              </w:rPr>
              <w:t>日常生活用品、认知评估工具等</w:t>
            </w:r>
            <w:r>
              <w:rPr>
                <w:rFonts w:hint="eastAsia" w:ascii="仿宋_GB2312" w:hAnsi="仿宋_GB2312" w:eastAsia="仿宋_GB2312" w:cs="仿宋_GB2312"/>
                <w:b w:val="0"/>
                <w:bCs w:val="0"/>
                <w:color w:val="auto"/>
                <w:spacing w:val="4"/>
                <w:sz w:val="24"/>
                <w:szCs w:val="24"/>
              </w:rPr>
              <w:t>），</w:t>
            </w:r>
            <w:r>
              <w:rPr>
                <w:rFonts w:hint="eastAsia" w:ascii="仿宋_GB2312" w:hAnsi="仿宋_GB2312" w:eastAsia="仿宋_GB2312" w:cs="仿宋_GB2312"/>
                <w:b w:val="0"/>
                <w:bCs w:val="0"/>
                <w:color w:val="auto"/>
                <w:spacing w:val="-2"/>
                <w:sz w:val="24"/>
                <w:szCs w:val="24"/>
              </w:rPr>
              <w:t>场景模拟完备度高的</w:t>
            </w:r>
            <w:r>
              <w:rPr>
                <w:rFonts w:hint="eastAsia" w:ascii="仿宋_GB2312" w:hAnsi="仿宋_GB2312" w:eastAsia="仿宋_GB2312" w:cs="仿宋_GB2312"/>
                <w:b w:val="0"/>
                <w:bCs w:val="0"/>
                <w:color w:val="auto"/>
                <w:spacing w:val="-2"/>
                <w:sz w:val="24"/>
                <w:szCs w:val="24"/>
                <w:lang w:eastAsia="zh-CN"/>
              </w:rPr>
              <w:t>得</w:t>
            </w:r>
            <w:r>
              <w:rPr>
                <w:rFonts w:hint="eastAsia" w:ascii="仿宋_GB2312" w:hAnsi="仿宋_GB2312" w:eastAsia="仿宋_GB2312" w:cs="仿宋_GB2312"/>
                <w:b w:val="0"/>
                <w:bCs w:val="0"/>
                <w:color w:val="auto"/>
                <w:spacing w:val="-42"/>
                <w:sz w:val="24"/>
                <w:szCs w:val="24"/>
              </w:rPr>
              <w:t xml:space="preserve"> </w:t>
            </w:r>
            <w:r>
              <w:rPr>
                <w:rFonts w:hint="eastAsia" w:ascii="仿宋_GB2312" w:hAnsi="仿宋_GB2312" w:eastAsia="仿宋_GB2312" w:cs="仿宋_GB2312"/>
                <w:b w:val="0"/>
                <w:bCs w:val="0"/>
                <w:color w:val="auto"/>
                <w:spacing w:val="-2"/>
                <w:sz w:val="24"/>
                <w:szCs w:val="24"/>
              </w:rPr>
              <w:t>2</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2"/>
                <w:sz w:val="24"/>
                <w:szCs w:val="24"/>
              </w:rPr>
              <w:t>分。在一间的基础上，每增加一间，</w:t>
            </w:r>
            <w:r>
              <w:rPr>
                <w:rFonts w:hint="eastAsia" w:ascii="仿宋_GB2312" w:hAnsi="仿宋_GB2312" w:eastAsia="仿宋_GB2312" w:cs="仿宋_GB2312"/>
                <w:b w:val="0"/>
                <w:bCs w:val="0"/>
                <w:color w:val="auto"/>
                <w:spacing w:val="-2"/>
                <w:sz w:val="24"/>
                <w:szCs w:val="24"/>
                <w:lang w:eastAsia="zh-CN"/>
              </w:rPr>
              <w:t>得</w:t>
            </w:r>
            <w:r>
              <w:rPr>
                <w:rFonts w:hint="eastAsia" w:ascii="仿宋_GB2312" w:hAnsi="仿宋_GB2312" w:eastAsia="仿宋_GB2312" w:cs="仿宋_GB2312"/>
                <w:b w:val="0"/>
                <w:bCs w:val="0"/>
                <w:color w:val="auto"/>
                <w:spacing w:val="-41"/>
                <w:sz w:val="24"/>
                <w:szCs w:val="24"/>
              </w:rPr>
              <w:t xml:space="preserve"> </w:t>
            </w:r>
            <w:r>
              <w:rPr>
                <w:rFonts w:hint="eastAsia" w:ascii="仿宋_GB2312" w:hAnsi="仿宋_GB2312" w:eastAsia="仿宋_GB2312" w:cs="仿宋_GB2312"/>
                <w:b w:val="0"/>
                <w:bCs w:val="0"/>
                <w:color w:val="auto"/>
                <w:spacing w:val="-2"/>
                <w:sz w:val="24"/>
                <w:szCs w:val="24"/>
              </w:rPr>
              <w:t>2</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2"/>
                <w:sz w:val="24"/>
                <w:szCs w:val="24"/>
              </w:rPr>
              <w:t>分</w:t>
            </w:r>
            <w:r>
              <w:rPr>
                <w:rFonts w:hint="eastAsia" w:ascii="仿宋_GB2312" w:hAnsi="仿宋_GB2312" w:eastAsia="仿宋_GB2312" w:cs="仿宋_GB2312"/>
                <w:b w:val="0"/>
                <w:bCs w:val="0"/>
                <w:color w:val="auto"/>
                <w:spacing w:val="-2"/>
                <w:sz w:val="24"/>
                <w:szCs w:val="24"/>
                <w:lang w:eastAsia="zh-CN"/>
              </w:rPr>
              <w:t>。</w:t>
            </w:r>
            <w:r>
              <w:rPr>
                <w:rFonts w:hint="eastAsia" w:ascii="仿宋_GB2312" w:hAnsi="仿宋_GB2312" w:eastAsia="仿宋_GB2312" w:cs="仿宋_GB2312"/>
                <w:b w:val="0"/>
                <w:bCs w:val="0"/>
                <w:color w:val="auto"/>
                <w:spacing w:val="-3"/>
                <w:sz w:val="24"/>
                <w:szCs w:val="24"/>
              </w:rPr>
              <w:t>本项最高得</w:t>
            </w:r>
            <w:r>
              <w:rPr>
                <w:rFonts w:hint="eastAsia" w:ascii="仿宋_GB2312" w:hAnsi="仿宋_GB2312" w:eastAsia="仿宋_GB2312" w:cs="仿宋_GB2312"/>
                <w:b w:val="0"/>
                <w:bCs w:val="0"/>
                <w:color w:val="auto"/>
                <w:spacing w:val="-36"/>
                <w:sz w:val="24"/>
                <w:szCs w:val="24"/>
              </w:rPr>
              <w:t xml:space="preserve"> </w:t>
            </w:r>
            <w:r>
              <w:rPr>
                <w:rFonts w:hint="eastAsia" w:ascii="仿宋_GB2312" w:hAnsi="仿宋_GB2312" w:eastAsia="仿宋_GB2312" w:cs="仿宋_GB2312"/>
                <w:b w:val="0"/>
                <w:bCs w:val="0"/>
                <w:color w:val="auto"/>
                <w:spacing w:val="-3"/>
                <w:sz w:val="24"/>
                <w:szCs w:val="24"/>
              </w:rPr>
              <w:t>1</w:t>
            </w:r>
            <w:r>
              <w:rPr>
                <w:rFonts w:hint="eastAsia" w:ascii="仿宋_GB2312" w:hAnsi="仿宋_GB2312" w:eastAsia="仿宋_GB2312" w:cs="仿宋_GB2312"/>
                <w:b w:val="0"/>
                <w:bCs w:val="0"/>
                <w:color w:val="auto"/>
                <w:spacing w:val="-3"/>
                <w:sz w:val="24"/>
                <w:szCs w:val="24"/>
                <w:lang w:val="en-US" w:eastAsia="zh-CN"/>
              </w:rPr>
              <w:t>5</w:t>
            </w:r>
            <w:r>
              <w:rPr>
                <w:rFonts w:hint="eastAsia" w:ascii="仿宋_GB2312" w:hAnsi="仿宋_GB2312" w:eastAsia="仿宋_GB2312" w:cs="仿宋_GB2312"/>
                <w:b w:val="0"/>
                <w:bCs w:val="0"/>
                <w:color w:val="auto"/>
                <w:spacing w:val="-46"/>
                <w:sz w:val="24"/>
                <w:szCs w:val="24"/>
              </w:rPr>
              <w:t xml:space="preserve"> </w:t>
            </w:r>
            <w:r>
              <w:rPr>
                <w:rFonts w:hint="eastAsia" w:ascii="仿宋_GB2312" w:hAnsi="仿宋_GB2312" w:eastAsia="仿宋_GB2312" w:cs="仿宋_GB2312"/>
                <w:b w:val="0"/>
                <w:bCs w:val="0"/>
                <w:color w:val="auto"/>
                <w:spacing w:val="-3"/>
                <w:sz w:val="24"/>
                <w:szCs w:val="24"/>
              </w:rPr>
              <w:t>分。</w:t>
            </w:r>
          </w:p>
        </w:tc>
        <w:tc>
          <w:tcPr>
            <w:tcW w:w="1249" w:type="dxa"/>
            <w:tcBorders>
              <w:left w:val="single" w:color="auto" w:sz="4" w:space="0"/>
            </w:tcBorders>
            <w:vAlign w:val="center"/>
          </w:tcPr>
          <w:p w14:paraId="6D19447C">
            <w:pPr>
              <w:keepNext w:val="0"/>
              <w:keepLines w:val="0"/>
              <w:pageBreakBefore w:val="0"/>
              <w:widowControl/>
              <w:kinsoku w:val="0"/>
              <w:wordWrap/>
              <w:overflowPunct/>
              <w:topLinePunct w:val="0"/>
              <w:autoSpaceDE w:val="0"/>
              <w:autoSpaceDN w:val="0"/>
              <w:bidi w:val="0"/>
              <w:adjustRightInd w:val="0"/>
              <w:snapToGrid w:val="0"/>
              <w:spacing w:line="280" w:lineRule="auto"/>
              <w:textAlignment w:val="baseline"/>
              <w:rPr>
                <w:rFonts w:hint="eastAsia" w:ascii="仿宋_GB2312" w:hAnsi="仿宋_GB2312" w:eastAsia="仿宋_GB2312" w:cs="仿宋_GB2312"/>
                <w:b w:val="0"/>
                <w:bCs w:val="0"/>
                <w:color w:val="auto"/>
                <w:sz w:val="24"/>
                <w:szCs w:val="24"/>
              </w:rPr>
            </w:pPr>
          </w:p>
          <w:p w14:paraId="45233E56">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1026F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8" w:hRule="atLeast"/>
        </w:trPr>
        <w:tc>
          <w:tcPr>
            <w:tcW w:w="710" w:type="dxa"/>
            <w:tcBorders>
              <w:top w:val="single" w:color="auto" w:sz="4" w:space="0"/>
              <w:left w:val="single" w:color="auto" w:sz="4" w:space="0"/>
              <w:bottom w:val="single" w:color="auto" w:sz="4" w:space="0"/>
            </w:tcBorders>
            <w:vAlign w:val="center"/>
          </w:tcPr>
          <w:p w14:paraId="1D159E52">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313"/>
              <w:jc w:val="left"/>
              <w:textAlignment w:val="baseline"/>
              <w:rPr>
                <w:rFonts w:hint="eastAsia" w:ascii="仿宋_GB2312" w:hAnsi="仿宋_GB2312" w:eastAsia="仿宋_GB2312" w:cs="仿宋_GB2312"/>
                <w:b w:val="0"/>
                <w:bCs w:val="0"/>
                <w:color w:val="auto"/>
                <w:sz w:val="24"/>
                <w:szCs w:val="24"/>
                <w:lang w:val="en-US" w:eastAsia="zh-CN"/>
              </w:rPr>
            </w:pPr>
          </w:p>
          <w:p w14:paraId="244A56CC">
            <w:pPr>
              <w:pStyle w:val="11"/>
              <w:keepNext w:val="0"/>
              <w:keepLines w:val="0"/>
              <w:pageBreakBefore w:val="0"/>
              <w:widowControl/>
              <w:kinsoku w:val="0"/>
              <w:wordWrap/>
              <w:overflowPunct/>
              <w:topLinePunct w:val="0"/>
              <w:autoSpaceDE w:val="0"/>
              <w:autoSpaceDN w:val="0"/>
              <w:bidi w:val="0"/>
              <w:adjustRightInd w:val="0"/>
              <w:snapToGrid w:val="0"/>
              <w:spacing w:line="236" w:lineRule="auto"/>
              <w:jc w:val="center"/>
              <w:textAlignment w:val="baseline"/>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10</w:t>
            </w:r>
          </w:p>
        </w:tc>
        <w:tc>
          <w:tcPr>
            <w:tcW w:w="1230" w:type="dxa"/>
            <w:vMerge w:val="continue"/>
            <w:tcBorders>
              <w:right w:val="single" w:color="auto" w:sz="4" w:space="0"/>
            </w:tcBorders>
            <w:vAlign w:val="center"/>
          </w:tcPr>
          <w:p w14:paraId="2C1102CA">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top w:val="single" w:color="auto" w:sz="4" w:space="0"/>
              <w:left w:val="single" w:color="auto" w:sz="4" w:space="0"/>
              <w:bottom w:val="single" w:color="auto" w:sz="4" w:space="0"/>
            </w:tcBorders>
            <w:vAlign w:val="center"/>
          </w:tcPr>
          <w:p w14:paraId="54B46B15">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8"/>
                <w:sz w:val="24"/>
                <w:szCs w:val="24"/>
              </w:rPr>
            </w:pPr>
          </w:p>
          <w:p w14:paraId="17CF9011">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8"/>
                <w:sz w:val="24"/>
                <w:szCs w:val="24"/>
              </w:rPr>
              <w:t>师资人员</w:t>
            </w:r>
            <w:r>
              <w:rPr>
                <w:rFonts w:hint="eastAsia" w:ascii="仿宋_GB2312" w:hAnsi="仿宋_GB2312" w:eastAsia="仿宋_GB2312" w:cs="仿宋_GB2312"/>
                <w:b w:val="0"/>
                <w:bCs w:val="0"/>
                <w:color w:val="auto"/>
                <w:spacing w:val="-15"/>
                <w:sz w:val="24"/>
                <w:szCs w:val="24"/>
              </w:rPr>
              <w:t>（</w:t>
            </w:r>
            <w:r>
              <w:rPr>
                <w:rFonts w:hint="eastAsia" w:ascii="仿宋_GB2312" w:hAnsi="仿宋_GB2312" w:eastAsia="仿宋_GB2312" w:cs="仿宋_GB2312"/>
                <w:b w:val="0"/>
                <w:bCs w:val="0"/>
                <w:color w:val="auto"/>
                <w:spacing w:val="-70"/>
                <w:sz w:val="24"/>
                <w:szCs w:val="24"/>
              </w:rPr>
              <w:t xml:space="preserve"> </w:t>
            </w:r>
            <w:r>
              <w:rPr>
                <w:rFonts w:hint="eastAsia" w:ascii="仿宋_GB2312" w:hAnsi="仿宋_GB2312" w:eastAsia="仿宋_GB2312" w:cs="仿宋_GB2312"/>
                <w:b w:val="0"/>
                <w:bCs w:val="0"/>
                <w:color w:val="auto"/>
                <w:spacing w:val="-15"/>
                <w:sz w:val="24"/>
                <w:szCs w:val="24"/>
                <w:lang w:val="en-US" w:eastAsia="zh-CN"/>
              </w:rPr>
              <w:t>23</w:t>
            </w:r>
            <w:r>
              <w:rPr>
                <w:rFonts w:hint="eastAsia" w:ascii="仿宋_GB2312" w:hAnsi="仿宋_GB2312" w:eastAsia="仿宋_GB2312" w:cs="仿宋_GB2312"/>
                <w:b w:val="0"/>
                <w:bCs w:val="0"/>
                <w:color w:val="auto"/>
                <w:spacing w:val="-46"/>
                <w:sz w:val="24"/>
                <w:szCs w:val="24"/>
              </w:rPr>
              <w:t xml:space="preserve"> </w:t>
            </w:r>
            <w:r>
              <w:rPr>
                <w:rFonts w:hint="eastAsia" w:ascii="仿宋_GB2312" w:hAnsi="仿宋_GB2312" w:eastAsia="仿宋_GB2312" w:cs="仿宋_GB2312"/>
                <w:b w:val="0"/>
                <w:bCs w:val="0"/>
                <w:color w:val="auto"/>
                <w:spacing w:val="-15"/>
                <w:sz w:val="24"/>
                <w:szCs w:val="24"/>
              </w:rPr>
              <w:t>分）</w:t>
            </w:r>
          </w:p>
        </w:tc>
        <w:tc>
          <w:tcPr>
            <w:tcW w:w="10136" w:type="dxa"/>
            <w:tcBorders>
              <w:right w:val="single" w:color="auto" w:sz="4" w:space="0"/>
            </w:tcBorders>
            <w:vAlign w:val="center"/>
          </w:tcPr>
          <w:p w14:paraId="761CF42C">
            <w:pPr>
              <w:pStyle w:val="11"/>
              <w:keepNext w:val="0"/>
              <w:keepLines w:val="0"/>
              <w:pageBreakBefore w:val="0"/>
              <w:widowControl/>
              <w:kinsoku w:val="0"/>
              <w:wordWrap/>
              <w:overflowPunct/>
              <w:topLinePunct w:val="0"/>
              <w:autoSpaceDE w:val="0"/>
              <w:autoSpaceDN w:val="0"/>
              <w:bidi w:val="0"/>
              <w:adjustRightInd w:val="0"/>
              <w:snapToGrid w:val="0"/>
              <w:spacing w:line="216" w:lineRule="auto"/>
              <w:ind w:left="105" w:leftChars="50" w:firstLine="0" w:firstLineChars="0"/>
              <w:jc w:val="both"/>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5"/>
                <w:sz w:val="24"/>
                <w:szCs w:val="24"/>
              </w:rPr>
              <w:t>1.配置至少</w:t>
            </w:r>
            <w:r>
              <w:rPr>
                <w:rFonts w:hint="eastAsia" w:ascii="仿宋_GB2312" w:hAnsi="仿宋_GB2312" w:eastAsia="仿宋_GB2312" w:cs="仿宋_GB2312"/>
                <w:b w:val="0"/>
                <w:bCs w:val="0"/>
                <w:color w:val="auto"/>
                <w:spacing w:val="-39"/>
                <w:sz w:val="24"/>
                <w:szCs w:val="24"/>
              </w:rPr>
              <w:t xml:space="preserve"> </w:t>
            </w:r>
            <w:r>
              <w:rPr>
                <w:rFonts w:hint="eastAsia" w:ascii="仿宋_GB2312" w:hAnsi="仿宋_GB2312" w:eastAsia="仿宋_GB2312" w:cs="仿宋_GB2312"/>
                <w:b w:val="0"/>
                <w:bCs w:val="0"/>
                <w:color w:val="auto"/>
                <w:spacing w:val="-9"/>
                <w:sz w:val="24"/>
                <w:szCs w:val="24"/>
              </w:rPr>
              <w:t>6</w:t>
            </w:r>
            <w:r>
              <w:rPr>
                <w:rFonts w:hint="eastAsia" w:ascii="仿宋_GB2312" w:hAnsi="仿宋_GB2312" w:eastAsia="仿宋_GB2312" w:cs="仿宋_GB2312"/>
                <w:b w:val="0"/>
                <w:bCs w:val="0"/>
                <w:color w:val="auto"/>
                <w:spacing w:val="-55"/>
                <w:sz w:val="24"/>
                <w:szCs w:val="24"/>
              </w:rPr>
              <w:t xml:space="preserve"> </w:t>
            </w:r>
            <w:r>
              <w:rPr>
                <w:rFonts w:hint="eastAsia" w:ascii="仿宋_GB2312" w:hAnsi="仿宋_GB2312" w:eastAsia="仿宋_GB2312" w:cs="仿宋_GB2312"/>
                <w:b w:val="0"/>
                <w:bCs w:val="0"/>
                <w:color w:val="auto"/>
                <w:spacing w:val="-9"/>
                <w:sz w:val="24"/>
                <w:szCs w:val="24"/>
              </w:rPr>
              <w:t>名符合条件要求的培训师资人员，得</w:t>
            </w:r>
            <w:r>
              <w:rPr>
                <w:rFonts w:hint="eastAsia" w:ascii="仿宋_GB2312" w:hAnsi="仿宋_GB2312" w:eastAsia="仿宋_GB2312" w:cs="仿宋_GB2312"/>
                <w:b w:val="0"/>
                <w:bCs w:val="0"/>
                <w:color w:val="auto"/>
                <w:spacing w:val="-39"/>
                <w:sz w:val="24"/>
                <w:szCs w:val="24"/>
              </w:rPr>
              <w:t xml:space="preserve"> </w:t>
            </w:r>
            <w:r>
              <w:rPr>
                <w:rFonts w:hint="eastAsia" w:ascii="仿宋_GB2312" w:hAnsi="仿宋_GB2312" w:eastAsia="仿宋_GB2312" w:cs="仿宋_GB2312"/>
                <w:b w:val="0"/>
                <w:bCs w:val="0"/>
                <w:color w:val="auto"/>
                <w:spacing w:val="-9"/>
                <w:sz w:val="24"/>
                <w:szCs w:val="24"/>
                <w:lang w:val="en-US" w:eastAsia="zh-CN"/>
              </w:rPr>
              <w:t>10</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9"/>
                <w:sz w:val="24"/>
                <w:szCs w:val="24"/>
              </w:rPr>
              <w:t>分，每增加</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9"/>
                <w:sz w:val="24"/>
                <w:szCs w:val="24"/>
              </w:rPr>
              <w:t>1</w:t>
            </w:r>
            <w:r>
              <w:rPr>
                <w:rFonts w:hint="eastAsia" w:ascii="仿宋_GB2312" w:hAnsi="仿宋_GB2312" w:eastAsia="仿宋_GB2312" w:cs="仿宋_GB2312"/>
                <w:b w:val="0"/>
                <w:bCs w:val="0"/>
                <w:color w:val="auto"/>
                <w:spacing w:val="-55"/>
                <w:sz w:val="24"/>
                <w:szCs w:val="24"/>
              </w:rPr>
              <w:t xml:space="preserve"> </w:t>
            </w:r>
            <w:r>
              <w:rPr>
                <w:rFonts w:hint="eastAsia" w:ascii="仿宋_GB2312" w:hAnsi="仿宋_GB2312" w:eastAsia="仿宋_GB2312" w:cs="仿宋_GB2312"/>
                <w:b w:val="0"/>
                <w:bCs w:val="0"/>
                <w:color w:val="auto"/>
                <w:spacing w:val="-9"/>
                <w:sz w:val="24"/>
                <w:szCs w:val="24"/>
              </w:rPr>
              <w:t>名师资，加</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9"/>
                <w:sz w:val="24"/>
                <w:szCs w:val="24"/>
              </w:rPr>
              <w:t>1</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9"/>
                <w:sz w:val="24"/>
                <w:szCs w:val="24"/>
              </w:rPr>
              <w:t>分，最高</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9"/>
                <w:sz w:val="24"/>
                <w:szCs w:val="24"/>
                <w:lang w:val="en-US" w:eastAsia="zh-CN"/>
              </w:rPr>
              <w:t>15</w:t>
            </w:r>
            <w:r>
              <w:rPr>
                <w:rFonts w:hint="eastAsia" w:ascii="仿宋_GB2312" w:hAnsi="仿宋_GB2312" w:eastAsia="仿宋_GB2312" w:cs="仿宋_GB2312"/>
                <w:b w:val="0"/>
                <w:bCs w:val="0"/>
                <w:color w:val="auto"/>
                <w:spacing w:val="-47"/>
                <w:sz w:val="24"/>
                <w:szCs w:val="24"/>
              </w:rPr>
              <w:t xml:space="preserve"> </w:t>
            </w:r>
            <w:r>
              <w:rPr>
                <w:rFonts w:hint="eastAsia" w:ascii="仿宋_GB2312" w:hAnsi="仿宋_GB2312" w:eastAsia="仿宋_GB2312" w:cs="仿宋_GB2312"/>
                <w:b w:val="0"/>
                <w:bCs w:val="0"/>
                <w:color w:val="auto"/>
                <w:spacing w:val="-10"/>
                <w:sz w:val="24"/>
                <w:szCs w:val="24"/>
              </w:rPr>
              <w:t>分。</w:t>
            </w:r>
          </w:p>
          <w:p w14:paraId="5C34C162">
            <w:pPr>
              <w:pStyle w:val="11"/>
              <w:keepNext w:val="0"/>
              <w:keepLines w:val="0"/>
              <w:pageBreakBefore w:val="0"/>
              <w:widowControl/>
              <w:kinsoku w:val="0"/>
              <w:wordWrap/>
              <w:overflowPunct/>
              <w:topLinePunct w:val="0"/>
              <w:autoSpaceDE w:val="0"/>
              <w:autoSpaceDN w:val="0"/>
              <w:bidi w:val="0"/>
              <w:adjustRightInd w:val="0"/>
              <w:snapToGrid w:val="0"/>
              <w:spacing w:line="246" w:lineRule="auto"/>
              <w:ind w:left="105" w:leftChars="50" w:right="105" w:firstLine="0" w:firstLineChars="0"/>
              <w:textAlignment w:val="baseline"/>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pacing w:val="-5"/>
                <w:sz w:val="24"/>
                <w:szCs w:val="24"/>
              </w:rPr>
              <w:t>2.师资团队中具备副高级及以上职称人员的占比</w:t>
            </w:r>
            <w:r>
              <w:rPr>
                <w:rFonts w:hint="eastAsia" w:ascii="仿宋_GB2312" w:hAnsi="仿宋_GB2312" w:eastAsia="仿宋_GB2312" w:cs="仿宋_GB2312"/>
                <w:b w:val="0"/>
                <w:bCs w:val="0"/>
                <w:color w:val="auto"/>
                <w:spacing w:val="-43"/>
                <w:sz w:val="24"/>
                <w:szCs w:val="24"/>
              </w:rPr>
              <w:t xml:space="preserve"> </w:t>
            </w:r>
            <w:r>
              <w:rPr>
                <w:rFonts w:hint="eastAsia" w:ascii="仿宋_GB2312" w:hAnsi="仿宋_GB2312" w:eastAsia="仿宋_GB2312" w:cs="仿宋_GB2312"/>
                <w:b w:val="0"/>
                <w:bCs w:val="0"/>
                <w:color w:val="auto"/>
                <w:spacing w:val="-5"/>
                <w:sz w:val="24"/>
                <w:szCs w:val="24"/>
              </w:rPr>
              <w:t>≥</w:t>
            </w:r>
            <w:r>
              <w:rPr>
                <w:rFonts w:hint="eastAsia" w:ascii="仿宋_GB2312" w:hAnsi="仿宋_GB2312" w:eastAsia="仿宋_GB2312" w:cs="仿宋_GB2312"/>
                <w:b w:val="0"/>
                <w:bCs w:val="0"/>
                <w:color w:val="auto"/>
                <w:spacing w:val="-5"/>
                <w:sz w:val="24"/>
                <w:szCs w:val="24"/>
                <w:lang w:val="en-US" w:eastAsia="zh-CN"/>
              </w:rPr>
              <w:t>5</w:t>
            </w:r>
            <w:r>
              <w:rPr>
                <w:rFonts w:hint="eastAsia" w:ascii="仿宋_GB2312" w:hAnsi="仿宋_GB2312" w:eastAsia="仿宋_GB2312" w:cs="仿宋_GB2312"/>
                <w:b w:val="0"/>
                <w:bCs w:val="0"/>
                <w:color w:val="auto"/>
                <w:spacing w:val="-5"/>
                <w:sz w:val="24"/>
                <w:szCs w:val="24"/>
              </w:rPr>
              <w:t>0%，得</w:t>
            </w:r>
            <w:r>
              <w:rPr>
                <w:rFonts w:hint="eastAsia" w:ascii="仿宋_GB2312" w:hAnsi="仿宋_GB2312" w:eastAsia="仿宋_GB2312" w:cs="仿宋_GB2312"/>
                <w:b w:val="0"/>
                <w:bCs w:val="0"/>
                <w:color w:val="auto"/>
                <w:spacing w:val="-39"/>
                <w:sz w:val="24"/>
                <w:szCs w:val="24"/>
              </w:rPr>
              <w:t xml:space="preserve"> </w:t>
            </w:r>
            <w:r>
              <w:rPr>
                <w:rFonts w:hint="eastAsia" w:ascii="仿宋_GB2312" w:hAnsi="仿宋_GB2312" w:eastAsia="仿宋_GB2312" w:cs="仿宋_GB2312"/>
                <w:b w:val="0"/>
                <w:bCs w:val="0"/>
                <w:color w:val="auto"/>
                <w:spacing w:val="-5"/>
                <w:sz w:val="24"/>
                <w:szCs w:val="24"/>
                <w:lang w:val="en-US" w:eastAsia="zh-CN"/>
              </w:rPr>
              <w:t>5</w:t>
            </w:r>
            <w:r>
              <w:rPr>
                <w:rFonts w:hint="eastAsia" w:ascii="仿宋_GB2312" w:hAnsi="仿宋_GB2312" w:eastAsia="仿宋_GB2312" w:cs="仿宋_GB2312"/>
                <w:b w:val="0"/>
                <w:bCs w:val="0"/>
                <w:color w:val="auto"/>
                <w:spacing w:val="-48"/>
                <w:sz w:val="24"/>
                <w:szCs w:val="24"/>
              </w:rPr>
              <w:t xml:space="preserve"> </w:t>
            </w:r>
            <w:r>
              <w:rPr>
                <w:rFonts w:hint="eastAsia" w:ascii="仿宋_GB2312" w:hAnsi="仿宋_GB2312" w:eastAsia="仿宋_GB2312" w:cs="仿宋_GB2312"/>
                <w:b w:val="0"/>
                <w:bCs w:val="0"/>
                <w:color w:val="auto"/>
                <w:spacing w:val="-5"/>
                <w:sz w:val="24"/>
                <w:szCs w:val="24"/>
              </w:rPr>
              <w:t>分；40%</w:t>
            </w:r>
            <w:r>
              <w:rPr>
                <w:rFonts w:hint="eastAsia" w:ascii="仿宋_GB2312" w:hAnsi="仿宋_GB2312" w:eastAsia="仿宋_GB2312" w:cs="仿宋_GB2312"/>
                <w:b w:val="0"/>
                <w:bCs w:val="0"/>
                <w:color w:val="auto"/>
                <w:sz w:val="24"/>
                <w:szCs w:val="24"/>
              </w:rPr>
              <w:t xml:space="preserve"> </w:t>
            </w:r>
            <w:r>
              <w:rPr>
                <w:rFonts w:hint="eastAsia" w:ascii="仿宋_GB2312" w:hAnsi="仿宋_GB2312" w:eastAsia="仿宋_GB2312" w:cs="仿宋_GB2312"/>
                <w:b w:val="0"/>
                <w:bCs w:val="0"/>
                <w:color w:val="auto"/>
                <w:spacing w:val="-10"/>
                <w:sz w:val="24"/>
                <w:szCs w:val="24"/>
              </w:rPr>
              <w:t>≤</w:t>
            </w:r>
            <w:r>
              <w:rPr>
                <w:rFonts w:hint="eastAsia" w:ascii="仿宋_GB2312" w:hAnsi="仿宋_GB2312" w:eastAsia="仿宋_GB2312" w:cs="仿宋_GB2312"/>
                <w:b w:val="0"/>
                <w:bCs w:val="0"/>
                <w:color w:val="auto"/>
                <w:spacing w:val="-73"/>
                <w:sz w:val="24"/>
                <w:szCs w:val="24"/>
              </w:rPr>
              <w:t xml:space="preserve"> </w:t>
            </w:r>
            <w:r>
              <w:rPr>
                <w:rFonts w:hint="eastAsia" w:ascii="仿宋_GB2312" w:hAnsi="仿宋_GB2312" w:eastAsia="仿宋_GB2312" w:cs="仿宋_GB2312"/>
                <w:b w:val="0"/>
                <w:bCs w:val="0"/>
                <w:color w:val="auto"/>
                <w:spacing w:val="-10"/>
                <w:sz w:val="24"/>
                <w:szCs w:val="24"/>
              </w:rPr>
              <w:t>占比&lt;</w:t>
            </w:r>
            <w:r>
              <w:rPr>
                <w:rFonts w:hint="eastAsia" w:ascii="仿宋_GB2312" w:hAnsi="仿宋_GB2312" w:eastAsia="仿宋_GB2312" w:cs="仿宋_GB2312"/>
                <w:b w:val="0"/>
                <w:bCs w:val="0"/>
                <w:color w:val="auto"/>
                <w:spacing w:val="-10"/>
                <w:sz w:val="24"/>
                <w:szCs w:val="24"/>
                <w:lang w:val="en-US" w:eastAsia="zh-CN"/>
              </w:rPr>
              <w:t>5</w:t>
            </w:r>
            <w:r>
              <w:rPr>
                <w:rFonts w:hint="eastAsia" w:ascii="仿宋_GB2312" w:hAnsi="仿宋_GB2312" w:eastAsia="仿宋_GB2312" w:cs="仿宋_GB2312"/>
                <w:b w:val="0"/>
                <w:bCs w:val="0"/>
                <w:color w:val="auto"/>
                <w:spacing w:val="-10"/>
                <w:sz w:val="24"/>
                <w:szCs w:val="24"/>
              </w:rPr>
              <w:t>0%，得</w:t>
            </w:r>
            <w:r>
              <w:rPr>
                <w:rFonts w:hint="eastAsia" w:ascii="仿宋_GB2312" w:hAnsi="仿宋_GB2312" w:eastAsia="仿宋_GB2312" w:cs="仿宋_GB2312"/>
                <w:b w:val="0"/>
                <w:bCs w:val="0"/>
                <w:color w:val="auto"/>
                <w:spacing w:val="-31"/>
                <w:sz w:val="24"/>
                <w:szCs w:val="24"/>
              </w:rPr>
              <w:t xml:space="preserve"> </w:t>
            </w:r>
            <w:r>
              <w:rPr>
                <w:rFonts w:hint="eastAsia" w:ascii="仿宋_GB2312" w:hAnsi="仿宋_GB2312" w:eastAsia="仿宋_GB2312" w:cs="仿宋_GB2312"/>
                <w:b w:val="0"/>
                <w:bCs w:val="0"/>
                <w:color w:val="auto"/>
                <w:spacing w:val="-10"/>
                <w:sz w:val="24"/>
                <w:szCs w:val="24"/>
                <w:lang w:val="en-US" w:eastAsia="zh-CN"/>
              </w:rPr>
              <w:t>4</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49"/>
                <w:sz w:val="24"/>
                <w:szCs w:val="24"/>
                <w:lang w:val="en-US" w:eastAsia="zh-CN"/>
              </w:rPr>
              <w:t xml:space="preserve"> </w:t>
            </w:r>
            <w:r>
              <w:rPr>
                <w:rFonts w:hint="eastAsia" w:ascii="仿宋_GB2312" w:hAnsi="仿宋_GB2312" w:eastAsia="仿宋_GB2312" w:cs="仿宋_GB2312"/>
                <w:b w:val="0"/>
                <w:bCs w:val="0"/>
                <w:color w:val="auto"/>
                <w:spacing w:val="-10"/>
                <w:sz w:val="24"/>
                <w:szCs w:val="24"/>
              </w:rPr>
              <w:t>分；</w:t>
            </w:r>
            <w:r>
              <w:rPr>
                <w:rFonts w:hint="eastAsia" w:ascii="仿宋_GB2312" w:hAnsi="仿宋_GB2312" w:eastAsia="仿宋_GB2312" w:cs="仿宋_GB2312"/>
                <w:b w:val="0"/>
                <w:bCs w:val="0"/>
                <w:color w:val="auto"/>
                <w:spacing w:val="-10"/>
                <w:sz w:val="24"/>
                <w:szCs w:val="24"/>
                <w:lang w:val="en-US" w:eastAsia="zh-CN"/>
              </w:rPr>
              <w:t>3</w:t>
            </w:r>
            <w:r>
              <w:rPr>
                <w:rFonts w:hint="eastAsia" w:ascii="仿宋_GB2312" w:hAnsi="仿宋_GB2312" w:eastAsia="仿宋_GB2312" w:cs="仿宋_GB2312"/>
                <w:b w:val="0"/>
                <w:bCs w:val="0"/>
                <w:color w:val="auto"/>
                <w:spacing w:val="-10"/>
                <w:sz w:val="24"/>
                <w:szCs w:val="24"/>
              </w:rPr>
              <w:t>0%</w:t>
            </w:r>
            <w:r>
              <w:rPr>
                <w:rFonts w:hint="eastAsia" w:ascii="仿宋_GB2312" w:hAnsi="仿宋_GB2312" w:eastAsia="仿宋_GB2312" w:cs="仿宋_GB2312"/>
                <w:b w:val="0"/>
                <w:bCs w:val="0"/>
                <w:color w:val="auto"/>
                <w:spacing w:val="-57"/>
                <w:sz w:val="24"/>
                <w:szCs w:val="24"/>
              </w:rPr>
              <w:t xml:space="preserve"> </w:t>
            </w:r>
            <w:r>
              <w:rPr>
                <w:rFonts w:hint="eastAsia" w:ascii="仿宋_GB2312" w:hAnsi="仿宋_GB2312" w:eastAsia="仿宋_GB2312" w:cs="仿宋_GB2312"/>
                <w:b w:val="0"/>
                <w:bCs w:val="0"/>
                <w:color w:val="auto"/>
                <w:spacing w:val="-10"/>
                <w:sz w:val="24"/>
                <w:szCs w:val="24"/>
              </w:rPr>
              <w:t>≤</w:t>
            </w:r>
            <w:r>
              <w:rPr>
                <w:rFonts w:hint="eastAsia" w:ascii="仿宋_GB2312" w:hAnsi="仿宋_GB2312" w:eastAsia="仿宋_GB2312" w:cs="仿宋_GB2312"/>
                <w:b w:val="0"/>
                <w:bCs w:val="0"/>
                <w:color w:val="auto"/>
                <w:spacing w:val="-72"/>
                <w:sz w:val="24"/>
                <w:szCs w:val="24"/>
              </w:rPr>
              <w:t xml:space="preserve"> </w:t>
            </w:r>
            <w:r>
              <w:rPr>
                <w:rFonts w:hint="eastAsia" w:ascii="仿宋_GB2312" w:hAnsi="仿宋_GB2312" w:eastAsia="仿宋_GB2312" w:cs="仿宋_GB2312"/>
                <w:b w:val="0"/>
                <w:bCs w:val="0"/>
                <w:color w:val="auto"/>
                <w:spacing w:val="-10"/>
                <w:sz w:val="24"/>
                <w:szCs w:val="24"/>
              </w:rPr>
              <w:t>占比&lt;40%，得</w:t>
            </w:r>
            <w:r>
              <w:rPr>
                <w:rFonts w:hint="eastAsia" w:ascii="仿宋_GB2312" w:hAnsi="仿宋_GB2312" w:eastAsia="仿宋_GB2312" w:cs="仿宋_GB2312"/>
                <w:b w:val="0"/>
                <w:bCs w:val="0"/>
                <w:color w:val="auto"/>
                <w:spacing w:val="-41"/>
                <w:sz w:val="24"/>
                <w:szCs w:val="24"/>
              </w:rPr>
              <w:t xml:space="preserve"> </w:t>
            </w:r>
            <w:r>
              <w:rPr>
                <w:rFonts w:hint="eastAsia" w:ascii="仿宋_GB2312" w:hAnsi="仿宋_GB2312" w:eastAsia="仿宋_GB2312" w:cs="仿宋_GB2312"/>
                <w:b w:val="0"/>
                <w:bCs w:val="0"/>
                <w:color w:val="auto"/>
                <w:spacing w:val="-41"/>
                <w:sz w:val="24"/>
                <w:szCs w:val="24"/>
                <w:lang w:val="en-US" w:eastAsia="zh-CN"/>
              </w:rPr>
              <w:t xml:space="preserve"> 3</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49"/>
                <w:sz w:val="24"/>
                <w:szCs w:val="24"/>
                <w:lang w:val="en-US" w:eastAsia="zh-CN"/>
              </w:rPr>
              <w:t xml:space="preserve"> </w:t>
            </w:r>
            <w:r>
              <w:rPr>
                <w:rFonts w:hint="eastAsia" w:ascii="仿宋_GB2312" w:hAnsi="仿宋_GB2312" w:eastAsia="仿宋_GB2312" w:cs="仿宋_GB2312"/>
                <w:b w:val="0"/>
                <w:bCs w:val="0"/>
                <w:color w:val="auto"/>
                <w:spacing w:val="-10"/>
                <w:sz w:val="24"/>
                <w:szCs w:val="24"/>
              </w:rPr>
              <w:t>分；</w:t>
            </w:r>
            <w:r>
              <w:rPr>
                <w:rFonts w:hint="eastAsia" w:ascii="仿宋_GB2312" w:hAnsi="仿宋_GB2312" w:eastAsia="仿宋_GB2312" w:cs="仿宋_GB2312"/>
                <w:b w:val="0"/>
                <w:bCs w:val="0"/>
                <w:color w:val="auto"/>
                <w:spacing w:val="-62"/>
                <w:sz w:val="24"/>
                <w:szCs w:val="24"/>
              </w:rPr>
              <w:t xml:space="preserve"> </w:t>
            </w:r>
            <w:r>
              <w:rPr>
                <w:rFonts w:hint="eastAsia" w:ascii="仿宋_GB2312" w:hAnsi="仿宋_GB2312" w:eastAsia="仿宋_GB2312" w:cs="仿宋_GB2312"/>
                <w:b w:val="0"/>
                <w:bCs w:val="0"/>
                <w:color w:val="auto"/>
                <w:spacing w:val="-10"/>
                <w:sz w:val="24"/>
                <w:szCs w:val="24"/>
                <w:lang w:val="en-US" w:eastAsia="zh-CN"/>
              </w:rPr>
              <w:t>2</w:t>
            </w:r>
            <w:r>
              <w:rPr>
                <w:rFonts w:hint="eastAsia" w:ascii="仿宋_GB2312" w:hAnsi="仿宋_GB2312" w:eastAsia="仿宋_GB2312" w:cs="仿宋_GB2312"/>
                <w:b w:val="0"/>
                <w:bCs w:val="0"/>
                <w:color w:val="auto"/>
                <w:spacing w:val="-10"/>
                <w:sz w:val="24"/>
                <w:szCs w:val="24"/>
              </w:rPr>
              <w:t>0%</w:t>
            </w:r>
            <w:r>
              <w:rPr>
                <w:rFonts w:hint="eastAsia" w:ascii="仿宋_GB2312" w:hAnsi="仿宋_GB2312" w:eastAsia="仿宋_GB2312" w:cs="仿宋_GB2312"/>
                <w:b w:val="0"/>
                <w:bCs w:val="0"/>
                <w:color w:val="auto"/>
                <w:spacing w:val="-57"/>
                <w:sz w:val="24"/>
                <w:szCs w:val="24"/>
              </w:rPr>
              <w:t xml:space="preserve"> </w:t>
            </w:r>
            <w:r>
              <w:rPr>
                <w:rFonts w:hint="eastAsia" w:ascii="仿宋_GB2312" w:hAnsi="仿宋_GB2312" w:eastAsia="仿宋_GB2312" w:cs="仿宋_GB2312"/>
                <w:b w:val="0"/>
                <w:bCs w:val="0"/>
                <w:color w:val="auto"/>
                <w:spacing w:val="-10"/>
                <w:sz w:val="24"/>
                <w:szCs w:val="24"/>
              </w:rPr>
              <w:t>≤</w:t>
            </w:r>
            <w:r>
              <w:rPr>
                <w:rFonts w:hint="eastAsia" w:ascii="仿宋_GB2312" w:hAnsi="仿宋_GB2312" w:eastAsia="仿宋_GB2312" w:cs="仿宋_GB2312"/>
                <w:b w:val="0"/>
                <w:bCs w:val="0"/>
                <w:color w:val="auto"/>
                <w:spacing w:val="-72"/>
                <w:sz w:val="24"/>
                <w:szCs w:val="24"/>
              </w:rPr>
              <w:t xml:space="preserve"> </w:t>
            </w:r>
            <w:r>
              <w:rPr>
                <w:rFonts w:hint="eastAsia" w:ascii="仿宋_GB2312" w:hAnsi="仿宋_GB2312" w:eastAsia="仿宋_GB2312" w:cs="仿宋_GB2312"/>
                <w:b w:val="0"/>
                <w:bCs w:val="0"/>
                <w:color w:val="auto"/>
                <w:spacing w:val="-10"/>
                <w:sz w:val="24"/>
                <w:szCs w:val="24"/>
              </w:rPr>
              <w:t>占比&lt;</w:t>
            </w:r>
            <w:r>
              <w:rPr>
                <w:rFonts w:hint="eastAsia" w:ascii="仿宋_GB2312" w:hAnsi="仿宋_GB2312" w:eastAsia="仿宋_GB2312" w:cs="仿宋_GB2312"/>
                <w:b w:val="0"/>
                <w:bCs w:val="0"/>
                <w:color w:val="auto"/>
                <w:spacing w:val="-10"/>
                <w:sz w:val="24"/>
                <w:szCs w:val="24"/>
                <w:lang w:val="en-US" w:eastAsia="zh-CN"/>
              </w:rPr>
              <w:t>3</w:t>
            </w:r>
            <w:r>
              <w:rPr>
                <w:rFonts w:hint="eastAsia" w:ascii="仿宋_GB2312" w:hAnsi="仿宋_GB2312" w:eastAsia="仿宋_GB2312" w:cs="仿宋_GB2312"/>
                <w:b w:val="0"/>
                <w:bCs w:val="0"/>
                <w:color w:val="auto"/>
                <w:spacing w:val="-10"/>
                <w:sz w:val="24"/>
                <w:szCs w:val="24"/>
              </w:rPr>
              <w:t>0%，得</w:t>
            </w:r>
            <w:r>
              <w:rPr>
                <w:rFonts w:hint="eastAsia" w:ascii="仿宋_GB2312" w:hAnsi="仿宋_GB2312" w:eastAsia="仿宋_GB2312" w:cs="仿宋_GB2312"/>
                <w:b w:val="0"/>
                <w:bCs w:val="0"/>
                <w:color w:val="auto"/>
                <w:spacing w:val="-10"/>
                <w:sz w:val="24"/>
                <w:szCs w:val="24"/>
                <w:lang w:val="en-US" w:eastAsia="zh-CN"/>
              </w:rPr>
              <w:t xml:space="preserve"> </w:t>
            </w:r>
            <w:r>
              <w:rPr>
                <w:rFonts w:hint="eastAsia" w:ascii="仿宋_GB2312" w:hAnsi="仿宋_GB2312" w:eastAsia="仿宋_GB2312" w:cs="仿宋_GB2312"/>
                <w:b w:val="0"/>
                <w:bCs w:val="0"/>
                <w:color w:val="auto"/>
                <w:spacing w:val="-41"/>
                <w:sz w:val="24"/>
                <w:szCs w:val="24"/>
              </w:rPr>
              <w:t xml:space="preserve"> </w:t>
            </w:r>
            <w:r>
              <w:rPr>
                <w:rFonts w:hint="eastAsia" w:ascii="仿宋_GB2312" w:hAnsi="仿宋_GB2312" w:eastAsia="仿宋_GB2312" w:cs="仿宋_GB2312"/>
                <w:b w:val="0"/>
                <w:bCs w:val="0"/>
                <w:color w:val="auto"/>
                <w:spacing w:val="-10"/>
                <w:sz w:val="24"/>
                <w:szCs w:val="24"/>
              </w:rPr>
              <w:t>2</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49"/>
                <w:sz w:val="24"/>
                <w:szCs w:val="24"/>
                <w:lang w:val="en-US" w:eastAsia="zh-CN"/>
              </w:rPr>
              <w:t xml:space="preserve"> </w:t>
            </w:r>
            <w:r>
              <w:rPr>
                <w:rFonts w:hint="eastAsia" w:ascii="仿宋_GB2312" w:hAnsi="仿宋_GB2312" w:eastAsia="仿宋_GB2312" w:cs="仿宋_GB2312"/>
                <w:b w:val="0"/>
                <w:bCs w:val="0"/>
                <w:color w:val="auto"/>
                <w:spacing w:val="-10"/>
                <w:sz w:val="24"/>
                <w:szCs w:val="24"/>
              </w:rPr>
              <w:t>分；占比&lt;20</w:t>
            </w:r>
            <w:r>
              <w:rPr>
                <w:rFonts w:hint="eastAsia" w:ascii="仿宋_GB2312" w:hAnsi="仿宋_GB2312" w:eastAsia="仿宋_GB2312" w:cs="仿宋_GB2312"/>
                <w:b w:val="0"/>
                <w:bCs w:val="0"/>
                <w:color w:val="auto"/>
                <w:spacing w:val="-11"/>
                <w:sz w:val="24"/>
                <w:szCs w:val="24"/>
              </w:rPr>
              <w:t>%，得</w:t>
            </w:r>
            <w:r>
              <w:rPr>
                <w:rFonts w:hint="eastAsia" w:ascii="仿宋_GB2312" w:hAnsi="仿宋_GB2312" w:eastAsia="仿宋_GB2312" w:cs="仿宋_GB2312"/>
                <w:b w:val="0"/>
                <w:bCs w:val="0"/>
                <w:color w:val="auto"/>
                <w:spacing w:val="-34"/>
                <w:sz w:val="24"/>
                <w:szCs w:val="24"/>
              </w:rPr>
              <w:t xml:space="preserve"> </w:t>
            </w:r>
            <w:r>
              <w:rPr>
                <w:rFonts w:hint="eastAsia" w:ascii="仿宋_GB2312" w:hAnsi="仿宋_GB2312" w:eastAsia="仿宋_GB2312" w:cs="仿宋_GB2312"/>
                <w:b w:val="0"/>
                <w:bCs w:val="0"/>
                <w:color w:val="auto"/>
                <w:spacing w:val="-11"/>
                <w:sz w:val="24"/>
                <w:szCs w:val="24"/>
              </w:rPr>
              <w:t>0</w:t>
            </w:r>
            <w:r>
              <w:rPr>
                <w:rFonts w:hint="eastAsia" w:ascii="仿宋_GB2312" w:hAnsi="仿宋_GB2312" w:eastAsia="仿宋_GB2312" w:cs="仿宋_GB2312"/>
                <w:b w:val="0"/>
                <w:bCs w:val="0"/>
                <w:color w:val="auto"/>
                <w:spacing w:val="-48"/>
                <w:sz w:val="24"/>
                <w:szCs w:val="24"/>
              </w:rPr>
              <w:t xml:space="preserve"> </w:t>
            </w:r>
            <w:r>
              <w:rPr>
                <w:rFonts w:hint="eastAsia" w:ascii="仿宋_GB2312" w:hAnsi="仿宋_GB2312" w:eastAsia="仿宋_GB2312" w:cs="仿宋_GB2312"/>
                <w:b w:val="0"/>
                <w:bCs w:val="0"/>
                <w:color w:val="auto"/>
                <w:spacing w:val="-11"/>
                <w:sz w:val="24"/>
                <w:szCs w:val="24"/>
              </w:rPr>
              <w:t>分。</w:t>
            </w:r>
          </w:p>
          <w:p w14:paraId="68A63213">
            <w:pPr>
              <w:pStyle w:val="11"/>
              <w:keepNext w:val="0"/>
              <w:keepLines w:val="0"/>
              <w:pageBreakBefore w:val="0"/>
              <w:widowControl/>
              <w:kinsoku w:val="0"/>
              <w:wordWrap/>
              <w:overflowPunct/>
              <w:topLinePunct w:val="0"/>
              <w:autoSpaceDE w:val="0"/>
              <w:autoSpaceDN w:val="0"/>
              <w:bidi w:val="0"/>
              <w:adjustRightInd w:val="0"/>
              <w:snapToGrid w:val="0"/>
              <w:spacing w:line="216" w:lineRule="auto"/>
              <w:ind w:left="105" w:leftChars="50" w:firstLine="0" w:firstLineChars="0"/>
              <w:textAlignment w:val="baseline"/>
              <w:rPr>
                <w:rFonts w:hint="eastAsia" w:ascii="仿宋_GB2312" w:hAnsi="仿宋_GB2312" w:eastAsia="仿宋_GB2312" w:cs="仿宋_GB2312"/>
                <w:b w:val="0"/>
                <w:bCs w:val="0"/>
                <w:color w:val="auto"/>
                <w:spacing w:val="-5"/>
                <w:sz w:val="24"/>
                <w:szCs w:val="24"/>
              </w:rPr>
            </w:pPr>
            <w:r>
              <w:rPr>
                <w:rFonts w:hint="eastAsia" w:ascii="仿宋_GB2312" w:hAnsi="仿宋_GB2312" w:eastAsia="仿宋_GB2312" w:cs="仿宋_GB2312"/>
                <w:b w:val="0"/>
                <w:bCs w:val="0"/>
                <w:color w:val="auto"/>
                <w:spacing w:val="-5"/>
                <w:sz w:val="24"/>
                <w:szCs w:val="24"/>
              </w:rPr>
              <w:t>注：师资团队超</w:t>
            </w:r>
            <w:r>
              <w:rPr>
                <w:rFonts w:hint="eastAsia" w:ascii="仿宋_GB2312" w:hAnsi="仿宋_GB2312" w:eastAsia="仿宋_GB2312" w:cs="仿宋_GB2312"/>
                <w:b w:val="0"/>
                <w:bCs w:val="0"/>
                <w:color w:val="auto"/>
                <w:spacing w:val="-18"/>
                <w:sz w:val="24"/>
                <w:szCs w:val="24"/>
              </w:rPr>
              <w:t xml:space="preserve"> </w:t>
            </w:r>
            <w:r>
              <w:rPr>
                <w:rFonts w:hint="eastAsia" w:ascii="仿宋_GB2312" w:hAnsi="仿宋_GB2312" w:eastAsia="仿宋_GB2312" w:cs="仿宋_GB2312"/>
                <w:b w:val="0"/>
                <w:bCs w:val="0"/>
                <w:color w:val="auto"/>
                <w:spacing w:val="-5"/>
                <w:sz w:val="24"/>
                <w:szCs w:val="24"/>
              </w:rPr>
              <w:t>10</w:t>
            </w:r>
            <w:r>
              <w:rPr>
                <w:rFonts w:hint="eastAsia" w:ascii="仿宋_GB2312" w:hAnsi="仿宋_GB2312" w:eastAsia="仿宋_GB2312" w:cs="仿宋_GB2312"/>
                <w:b w:val="0"/>
                <w:bCs w:val="0"/>
                <w:color w:val="auto"/>
                <w:spacing w:val="-47"/>
                <w:sz w:val="24"/>
                <w:szCs w:val="24"/>
              </w:rPr>
              <w:t xml:space="preserve"> </w:t>
            </w:r>
            <w:r>
              <w:rPr>
                <w:rFonts w:hint="eastAsia" w:ascii="仿宋_GB2312" w:hAnsi="仿宋_GB2312" w:eastAsia="仿宋_GB2312" w:cs="仿宋_GB2312"/>
                <w:b w:val="0"/>
                <w:bCs w:val="0"/>
                <w:color w:val="auto"/>
                <w:spacing w:val="-5"/>
                <w:sz w:val="24"/>
                <w:szCs w:val="24"/>
              </w:rPr>
              <w:t>人，测算占比时按</w:t>
            </w:r>
            <w:r>
              <w:rPr>
                <w:rFonts w:hint="eastAsia" w:ascii="仿宋_GB2312" w:hAnsi="仿宋_GB2312" w:eastAsia="仿宋_GB2312" w:cs="仿宋_GB2312"/>
                <w:b w:val="0"/>
                <w:bCs w:val="0"/>
                <w:color w:val="auto"/>
                <w:spacing w:val="-35"/>
                <w:sz w:val="24"/>
                <w:szCs w:val="24"/>
              </w:rPr>
              <w:t xml:space="preserve"> </w:t>
            </w:r>
            <w:r>
              <w:rPr>
                <w:rFonts w:hint="eastAsia" w:ascii="仿宋_GB2312" w:hAnsi="仿宋_GB2312" w:eastAsia="仿宋_GB2312" w:cs="仿宋_GB2312"/>
                <w:b w:val="0"/>
                <w:bCs w:val="0"/>
                <w:color w:val="auto"/>
                <w:spacing w:val="-5"/>
                <w:sz w:val="24"/>
                <w:szCs w:val="24"/>
              </w:rPr>
              <w:t>10</w:t>
            </w:r>
            <w:r>
              <w:rPr>
                <w:rFonts w:hint="eastAsia" w:ascii="仿宋_GB2312" w:hAnsi="仿宋_GB2312" w:eastAsia="仿宋_GB2312" w:cs="仿宋_GB2312"/>
                <w:b w:val="0"/>
                <w:bCs w:val="0"/>
                <w:color w:val="auto"/>
                <w:spacing w:val="-47"/>
                <w:sz w:val="24"/>
                <w:szCs w:val="24"/>
              </w:rPr>
              <w:t xml:space="preserve"> </w:t>
            </w:r>
            <w:r>
              <w:rPr>
                <w:rFonts w:hint="eastAsia" w:ascii="仿宋_GB2312" w:hAnsi="仿宋_GB2312" w:eastAsia="仿宋_GB2312" w:cs="仿宋_GB2312"/>
                <w:b w:val="0"/>
                <w:bCs w:val="0"/>
                <w:color w:val="auto"/>
                <w:spacing w:val="-5"/>
                <w:sz w:val="24"/>
                <w:szCs w:val="24"/>
              </w:rPr>
              <w:t>人计。</w:t>
            </w:r>
          </w:p>
          <w:p w14:paraId="32D5B3E4">
            <w:pPr>
              <w:pStyle w:val="11"/>
              <w:keepNext w:val="0"/>
              <w:keepLines w:val="0"/>
              <w:pageBreakBefore w:val="0"/>
              <w:widowControl/>
              <w:kinsoku w:val="0"/>
              <w:wordWrap/>
              <w:overflowPunct/>
              <w:topLinePunct w:val="0"/>
              <w:autoSpaceDE w:val="0"/>
              <w:autoSpaceDN w:val="0"/>
              <w:bidi w:val="0"/>
              <w:adjustRightInd w:val="0"/>
              <w:snapToGrid w:val="0"/>
              <w:spacing w:line="216" w:lineRule="auto"/>
              <w:ind w:left="105" w:leftChars="50" w:firstLine="0" w:firstLineChars="0"/>
              <w:textAlignment w:val="baseline"/>
              <w:rPr>
                <w:rFonts w:hint="eastAsia" w:ascii="仿宋_GB2312" w:hAnsi="仿宋_GB2312" w:eastAsia="仿宋_GB2312" w:cs="仿宋_GB2312"/>
                <w:b w:val="0"/>
                <w:bCs w:val="0"/>
                <w:color w:val="auto"/>
                <w:spacing w:val="-5"/>
                <w:sz w:val="24"/>
                <w:szCs w:val="24"/>
              </w:rPr>
            </w:pPr>
            <w:r>
              <w:rPr>
                <w:rFonts w:hint="eastAsia" w:ascii="仿宋_GB2312" w:hAnsi="仿宋_GB2312" w:eastAsia="仿宋_GB2312" w:cs="仿宋_GB2312"/>
                <w:b w:val="0"/>
                <w:bCs w:val="0"/>
                <w:color w:val="auto"/>
                <w:spacing w:val="-3"/>
                <w:sz w:val="24"/>
                <w:szCs w:val="24"/>
                <w:lang w:val="en-US" w:eastAsia="zh-CN"/>
              </w:rPr>
              <w:t>3.</w:t>
            </w:r>
            <w:r>
              <w:rPr>
                <w:rFonts w:hint="eastAsia" w:ascii="仿宋_GB2312" w:hAnsi="仿宋_GB2312" w:eastAsia="仿宋_GB2312" w:cs="仿宋_GB2312"/>
                <w:b w:val="0"/>
                <w:bCs w:val="0"/>
                <w:color w:val="auto"/>
                <w:spacing w:val="-3"/>
                <w:sz w:val="24"/>
                <w:szCs w:val="24"/>
              </w:rPr>
              <w:t>聘请到国家级</w:t>
            </w:r>
            <w:r>
              <w:rPr>
                <w:rFonts w:hint="eastAsia" w:ascii="仿宋_GB2312" w:hAnsi="仿宋_GB2312" w:eastAsia="仿宋_GB2312" w:cs="仿宋_GB2312"/>
                <w:b w:val="0"/>
                <w:bCs w:val="0"/>
                <w:color w:val="auto"/>
                <w:spacing w:val="-4"/>
                <w:sz w:val="24"/>
                <w:szCs w:val="24"/>
              </w:rPr>
              <w:t>长期护理保险专家库咨询专家的，</w:t>
            </w:r>
            <w:r>
              <w:rPr>
                <w:rFonts w:hint="eastAsia" w:ascii="仿宋_GB2312" w:hAnsi="仿宋_GB2312" w:eastAsia="仿宋_GB2312" w:cs="仿宋_GB2312"/>
                <w:b w:val="0"/>
                <w:bCs w:val="0"/>
                <w:color w:val="auto"/>
                <w:spacing w:val="-4"/>
                <w:sz w:val="24"/>
                <w:szCs w:val="24"/>
                <w:lang w:eastAsia="zh-CN"/>
              </w:rPr>
              <w:t>得</w:t>
            </w:r>
            <w:r>
              <w:rPr>
                <w:rFonts w:hint="eastAsia" w:ascii="仿宋_GB2312" w:hAnsi="仿宋_GB2312" w:eastAsia="仿宋_GB2312" w:cs="仿宋_GB2312"/>
                <w:b w:val="0"/>
                <w:bCs w:val="0"/>
                <w:color w:val="auto"/>
                <w:spacing w:val="-4"/>
                <w:sz w:val="24"/>
                <w:szCs w:val="24"/>
                <w:lang w:val="en-US" w:eastAsia="zh-CN"/>
              </w:rPr>
              <w:t xml:space="preserve"> 2 </w:t>
            </w:r>
            <w:r>
              <w:rPr>
                <w:rFonts w:hint="eastAsia" w:ascii="仿宋_GB2312" w:hAnsi="仿宋_GB2312" w:eastAsia="仿宋_GB2312" w:cs="仿宋_GB2312"/>
                <w:b w:val="0"/>
                <w:bCs w:val="0"/>
                <w:color w:val="auto"/>
                <w:spacing w:val="-3"/>
                <w:sz w:val="24"/>
                <w:szCs w:val="24"/>
              </w:rPr>
              <w:t>分；聘请到省级长期护理保险咨询专家的，</w:t>
            </w:r>
            <w:r>
              <w:rPr>
                <w:rFonts w:hint="eastAsia" w:ascii="仿宋_GB2312" w:hAnsi="仿宋_GB2312" w:eastAsia="仿宋_GB2312" w:cs="仿宋_GB2312"/>
                <w:b w:val="0"/>
                <w:bCs w:val="0"/>
                <w:color w:val="auto"/>
                <w:spacing w:val="-4"/>
                <w:sz w:val="24"/>
                <w:szCs w:val="24"/>
                <w:lang w:eastAsia="zh-CN"/>
              </w:rPr>
              <w:t>得</w:t>
            </w:r>
            <w:r>
              <w:rPr>
                <w:rFonts w:hint="eastAsia" w:ascii="仿宋_GB2312" w:hAnsi="仿宋_GB2312" w:eastAsia="仿宋_GB2312" w:cs="仿宋_GB2312"/>
                <w:b w:val="0"/>
                <w:bCs w:val="0"/>
                <w:color w:val="auto"/>
                <w:spacing w:val="-4"/>
                <w:sz w:val="24"/>
                <w:szCs w:val="24"/>
                <w:lang w:val="en-US" w:eastAsia="zh-CN"/>
              </w:rPr>
              <w:t xml:space="preserve"> 1 </w:t>
            </w:r>
            <w:r>
              <w:rPr>
                <w:rFonts w:hint="eastAsia" w:ascii="仿宋_GB2312" w:hAnsi="仿宋_GB2312" w:eastAsia="仿宋_GB2312" w:cs="仿宋_GB2312"/>
                <w:b w:val="0"/>
                <w:bCs w:val="0"/>
                <w:color w:val="auto"/>
                <w:spacing w:val="-3"/>
                <w:sz w:val="24"/>
                <w:szCs w:val="24"/>
              </w:rPr>
              <w:t>分。</w:t>
            </w:r>
          </w:p>
        </w:tc>
        <w:tc>
          <w:tcPr>
            <w:tcW w:w="1249" w:type="dxa"/>
            <w:tcBorders>
              <w:left w:val="single" w:color="auto" w:sz="4" w:space="0"/>
            </w:tcBorders>
            <w:vAlign w:val="center"/>
          </w:tcPr>
          <w:p w14:paraId="0B698B00">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3744E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 w:hRule="atLeast"/>
        </w:trPr>
        <w:tc>
          <w:tcPr>
            <w:tcW w:w="710" w:type="dxa"/>
            <w:tcBorders>
              <w:top w:val="single" w:color="auto" w:sz="4" w:space="0"/>
              <w:left w:val="single" w:color="auto" w:sz="4" w:space="0"/>
              <w:bottom w:val="single" w:color="auto" w:sz="4" w:space="0"/>
            </w:tcBorders>
            <w:vAlign w:val="center"/>
          </w:tcPr>
          <w:p w14:paraId="6F3254A8">
            <w:pPr>
              <w:pStyle w:val="11"/>
              <w:keepNext w:val="0"/>
              <w:keepLines w:val="0"/>
              <w:pageBreakBefore w:val="0"/>
              <w:widowControl/>
              <w:kinsoku w:val="0"/>
              <w:wordWrap/>
              <w:overflowPunct/>
              <w:topLinePunct w:val="0"/>
              <w:autoSpaceDE w:val="0"/>
              <w:autoSpaceDN w:val="0"/>
              <w:bidi w:val="0"/>
              <w:adjustRightInd w:val="0"/>
              <w:snapToGrid w:val="0"/>
              <w:spacing w:line="236" w:lineRule="auto"/>
              <w:jc w:val="center"/>
              <w:textAlignment w:val="baseline"/>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11</w:t>
            </w:r>
          </w:p>
        </w:tc>
        <w:tc>
          <w:tcPr>
            <w:tcW w:w="1230" w:type="dxa"/>
            <w:vMerge w:val="continue"/>
            <w:tcBorders>
              <w:bottom w:val="single" w:color="auto" w:sz="4" w:space="0"/>
              <w:right w:val="single" w:color="auto" w:sz="4" w:space="0"/>
            </w:tcBorders>
            <w:vAlign w:val="center"/>
          </w:tcPr>
          <w:p w14:paraId="0646C509">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top w:val="single" w:color="auto" w:sz="4" w:space="0"/>
              <w:left w:val="single" w:color="auto" w:sz="4" w:space="0"/>
              <w:bottom w:val="single" w:color="auto" w:sz="4" w:space="0"/>
            </w:tcBorders>
            <w:vAlign w:val="center"/>
          </w:tcPr>
          <w:p w14:paraId="34E882E6">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6"/>
                <w:sz w:val="24"/>
                <w:szCs w:val="24"/>
                <w:lang w:eastAsia="zh-CN"/>
              </w:rPr>
              <w:t>临床培训</w:t>
            </w:r>
            <w:r>
              <w:rPr>
                <w:rFonts w:hint="eastAsia" w:ascii="仿宋_GB2312" w:hAnsi="仿宋_GB2312" w:eastAsia="仿宋_GB2312" w:cs="仿宋_GB2312"/>
                <w:b w:val="0"/>
                <w:bCs w:val="0"/>
                <w:color w:val="auto"/>
                <w:spacing w:val="-16"/>
                <w:sz w:val="24"/>
                <w:szCs w:val="24"/>
              </w:rPr>
              <w:t>（</w:t>
            </w:r>
            <w:r>
              <w:rPr>
                <w:rFonts w:hint="eastAsia" w:ascii="仿宋_GB2312" w:hAnsi="仿宋_GB2312" w:eastAsia="仿宋_GB2312" w:cs="仿宋_GB2312"/>
                <w:b w:val="0"/>
                <w:bCs w:val="0"/>
                <w:color w:val="auto"/>
                <w:spacing w:val="-64"/>
                <w:sz w:val="24"/>
                <w:szCs w:val="24"/>
              </w:rPr>
              <w:t xml:space="preserve"> </w:t>
            </w:r>
            <w:r>
              <w:rPr>
                <w:rFonts w:hint="eastAsia" w:ascii="仿宋_GB2312" w:hAnsi="仿宋_GB2312" w:eastAsia="仿宋_GB2312" w:cs="仿宋_GB2312"/>
                <w:b w:val="0"/>
                <w:bCs w:val="0"/>
                <w:color w:val="auto"/>
                <w:spacing w:val="-16"/>
                <w:sz w:val="24"/>
                <w:szCs w:val="24"/>
                <w:lang w:val="en-US" w:eastAsia="zh-CN"/>
              </w:rPr>
              <w:t>10</w:t>
            </w:r>
            <w:r>
              <w:rPr>
                <w:rFonts w:hint="eastAsia" w:ascii="仿宋_GB2312" w:hAnsi="仿宋_GB2312" w:eastAsia="仿宋_GB2312" w:cs="仿宋_GB2312"/>
                <w:b w:val="0"/>
                <w:bCs w:val="0"/>
                <w:color w:val="auto"/>
                <w:spacing w:val="-16"/>
                <w:sz w:val="24"/>
                <w:szCs w:val="24"/>
              </w:rPr>
              <w:t>分）</w:t>
            </w:r>
          </w:p>
        </w:tc>
        <w:tc>
          <w:tcPr>
            <w:tcW w:w="10136" w:type="dxa"/>
            <w:tcBorders>
              <w:right w:val="single" w:color="auto" w:sz="4" w:space="0"/>
            </w:tcBorders>
            <w:vAlign w:val="center"/>
          </w:tcPr>
          <w:p w14:paraId="2EE4E4E0">
            <w:pPr>
              <w:pStyle w:val="11"/>
              <w:keepNext w:val="0"/>
              <w:keepLines w:val="0"/>
              <w:pageBreakBefore w:val="0"/>
              <w:widowControl/>
              <w:kinsoku w:val="0"/>
              <w:wordWrap/>
              <w:overflowPunct/>
              <w:topLinePunct w:val="0"/>
              <w:autoSpaceDE w:val="0"/>
              <w:autoSpaceDN w:val="0"/>
              <w:bidi w:val="0"/>
              <w:adjustRightInd w:val="0"/>
              <w:snapToGrid w:val="0"/>
              <w:spacing w:line="248" w:lineRule="auto"/>
              <w:ind w:left="105" w:leftChars="50" w:right="0"/>
              <w:jc w:val="both"/>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3"/>
                <w:sz w:val="24"/>
                <w:szCs w:val="24"/>
              </w:rPr>
              <w:t>设立</w:t>
            </w:r>
            <w:r>
              <w:rPr>
                <w:rFonts w:hint="eastAsia" w:ascii="仿宋_GB2312" w:hAnsi="仿宋_GB2312" w:eastAsia="仿宋_GB2312" w:cs="仿宋_GB2312"/>
                <w:b w:val="0"/>
                <w:bCs w:val="0"/>
                <w:color w:val="auto"/>
                <w:spacing w:val="-3"/>
                <w:sz w:val="24"/>
                <w:szCs w:val="24"/>
                <w:lang w:eastAsia="zh-CN"/>
              </w:rPr>
              <w:t>养老、康复、护理等长护险相关</w:t>
            </w:r>
            <w:r>
              <w:rPr>
                <w:rFonts w:hint="eastAsia" w:ascii="仿宋_GB2312" w:hAnsi="仿宋_GB2312" w:eastAsia="仿宋_GB2312" w:cs="仿宋_GB2312"/>
                <w:b w:val="0"/>
                <w:bCs w:val="0"/>
                <w:color w:val="auto"/>
                <w:sz w:val="24"/>
                <w:szCs w:val="24"/>
              </w:rPr>
              <w:t>临床技能培训中心</w:t>
            </w:r>
            <w:r>
              <w:rPr>
                <w:rFonts w:hint="eastAsia" w:ascii="仿宋_GB2312" w:hAnsi="仿宋_GB2312" w:eastAsia="仿宋_GB2312" w:cs="仿宋_GB2312"/>
                <w:b w:val="0"/>
                <w:bCs w:val="0"/>
                <w:color w:val="auto"/>
                <w:sz w:val="24"/>
                <w:szCs w:val="24"/>
                <w:lang w:eastAsia="zh-CN"/>
              </w:rPr>
              <w:t>、</w:t>
            </w:r>
            <w:r>
              <w:rPr>
                <w:rFonts w:hint="eastAsia" w:ascii="仿宋_GB2312" w:hAnsi="仿宋_GB2312" w:eastAsia="仿宋_GB2312" w:cs="仿宋_GB2312"/>
                <w:b w:val="0"/>
                <w:bCs w:val="0"/>
                <w:color w:val="auto"/>
                <w:sz w:val="24"/>
                <w:szCs w:val="24"/>
              </w:rPr>
              <w:t>实训中心</w:t>
            </w:r>
            <w:r>
              <w:rPr>
                <w:rFonts w:hint="eastAsia" w:ascii="仿宋_GB2312" w:hAnsi="仿宋_GB2312" w:eastAsia="仿宋_GB2312" w:cs="仿宋_GB2312"/>
                <w:b w:val="0"/>
                <w:bCs w:val="0"/>
                <w:color w:val="auto"/>
                <w:spacing w:val="-3"/>
                <w:sz w:val="24"/>
                <w:szCs w:val="24"/>
                <w:lang w:eastAsia="zh-CN"/>
              </w:rPr>
              <w:t>（教学中心或实训基地）</w:t>
            </w:r>
            <w:r>
              <w:rPr>
                <w:rFonts w:hint="eastAsia" w:ascii="仿宋_GB2312" w:hAnsi="仿宋_GB2312" w:eastAsia="仿宋_GB2312" w:cs="仿宋_GB2312"/>
                <w:b w:val="0"/>
                <w:bCs w:val="0"/>
                <w:color w:val="auto"/>
                <w:spacing w:val="-3"/>
                <w:sz w:val="24"/>
                <w:szCs w:val="24"/>
              </w:rPr>
              <w:t xml:space="preserve">，得 </w:t>
            </w:r>
            <w:r>
              <w:rPr>
                <w:rFonts w:hint="eastAsia" w:ascii="仿宋_GB2312" w:hAnsi="仿宋_GB2312" w:eastAsia="仿宋_GB2312" w:cs="仿宋_GB2312"/>
                <w:b w:val="0"/>
                <w:bCs w:val="0"/>
                <w:color w:val="auto"/>
                <w:spacing w:val="-3"/>
                <w:sz w:val="24"/>
                <w:szCs w:val="24"/>
                <w:lang w:val="en-US" w:eastAsia="zh-CN"/>
              </w:rPr>
              <w:t xml:space="preserve">7 </w:t>
            </w:r>
            <w:r>
              <w:rPr>
                <w:rFonts w:hint="eastAsia" w:ascii="仿宋_GB2312" w:hAnsi="仿宋_GB2312" w:eastAsia="仿宋_GB2312" w:cs="仿宋_GB2312"/>
                <w:b w:val="0"/>
                <w:bCs w:val="0"/>
                <w:color w:val="auto"/>
                <w:spacing w:val="-3"/>
                <w:sz w:val="24"/>
                <w:szCs w:val="24"/>
              </w:rPr>
              <w:t>分。</w:t>
            </w:r>
            <w:r>
              <w:rPr>
                <w:rFonts w:hint="eastAsia" w:ascii="仿宋_GB2312" w:hAnsi="仿宋_GB2312" w:eastAsia="仿宋_GB2312" w:cs="仿宋_GB2312"/>
                <w:b w:val="0"/>
                <w:bCs w:val="0"/>
                <w:color w:val="auto"/>
                <w:sz w:val="24"/>
                <w:szCs w:val="24"/>
              </w:rPr>
              <w:t>设立</w:t>
            </w:r>
            <w:r>
              <w:rPr>
                <w:rFonts w:hint="eastAsia" w:ascii="仿宋_GB2312" w:hAnsi="仿宋_GB2312" w:eastAsia="仿宋_GB2312" w:cs="仿宋_GB2312"/>
                <w:b w:val="0"/>
                <w:bCs w:val="0"/>
                <w:color w:val="auto"/>
                <w:sz w:val="24"/>
                <w:szCs w:val="24"/>
                <w:lang w:eastAsia="zh-CN"/>
              </w:rPr>
              <w:t>的</w:t>
            </w:r>
            <w:r>
              <w:rPr>
                <w:rFonts w:hint="eastAsia" w:ascii="仿宋_GB2312" w:hAnsi="仿宋_GB2312" w:eastAsia="仿宋_GB2312" w:cs="仿宋_GB2312"/>
                <w:b w:val="0"/>
                <w:bCs w:val="0"/>
                <w:color w:val="auto"/>
                <w:sz w:val="24"/>
                <w:szCs w:val="24"/>
              </w:rPr>
              <w:t>临床技能培训中心</w:t>
            </w:r>
            <w:r>
              <w:rPr>
                <w:rFonts w:hint="eastAsia" w:ascii="仿宋_GB2312" w:hAnsi="仿宋_GB2312" w:eastAsia="仿宋_GB2312" w:cs="仿宋_GB2312"/>
                <w:b w:val="0"/>
                <w:bCs w:val="0"/>
                <w:color w:val="auto"/>
                <w:sz w:val="24"/>
                <w:szCs w:val="24"/>
                <w:lang w:eastAsia="zh-CN"/>
              </w:rPr>
              <w:t>、</w:t>
            </w:r>
            <w:r>
              <w:rPr>
                <w:rFonts w:hint="eastAsia" w:ascii="仿宋_GB2312" w:hAnsi="仿宋_GB2312" w:eastAsia="仿宋_GB2312" w:cs="仿宋_GB2312"/>
                <w:b w:val="0"/>
                <w:bCs w:val="0"/>
                <w:color w:val="auto"/>
                <w:sz w:val="24"/>
                <w:szCs w:val="24"/>
              </w:rPr>
              <w:t>实训中心获得国家示范点</w:t>
            </w:r>
            <w:r>
              <w:rPr>
                <w:rFonts w:hint="eastAsia" w:ascii="仿宋_GB2312" w:hAnsi="仿宋_GB2312" w:eastAsia="仿宋_GB2312" w:cs="仿宋_GB2312"/>
                <w:b w:val="0"/>
                <w:bCs w:val="0"/>
                <w:color w:val="auto"/>
                <w:sz w:val="24"/>
                <w:szCs w:val="24"/>
                <w:lang w:eastAsia="zh-CN"/>
              </w:rPr>
              <w:t>的</w:t>
            </w:r>
            <w:r>
              <w:rPr>
                <w:rFonts w:hint="eastAsia" w:ascii="仿宋_GB2312" w:hAnsi="仿宋_GB2312" w:eastAsia="仿宋_GB2312" w:cs="仿宋_GB2312"/>
                <w:b w:val="0"/>
                <w:bCs w:val="0"/>
                <w:color w:val="auto"/>
                <w:spacing w:val="-3"/>
                <w:sz w:val="24"/>
                <w:szCs w:val="24"/>
                <w:lang w:val="en-US" w:eastAsia="zh-CN"/>
              </w:rPr>
              <w:t>，得 3 分；</w:t>
            </w:r>
            <w:r>
              <w:rPr>
                <w:rFonts w:hint="eastAsia" w:ascii="仿宋_GB2312" w:hAnsi="仿宋_GB2312" w:eastAsia="仿宋_GB2312" w:cs="仿宋_GB2312"/>
                <w:b w:val="0"/>
                <w:bCs w:val="0"/>
                <w:color w:val="auto"/>
                <w:sz w:val="24"/>
                <w:szCs w:val="24"/>
              </w:rPr>
              <w:t>获得省级示范点</w:t>
            </w:r>
            <w:r>
              <w:rPr>
                <w:rFonts w:hint="eastAsia" w:ascii="仿宋_GB2312" w:hAnsi="仿宋_GB2312" w:eastAsia="仿宋_GB2312" w:cs="仿宋_GB2312"/>
                <w:b w:val="0"/>
                <w:bCs w:val="0"/>
                <w:color w:val="auto"/>
                <w:sz w:val="24"/>
                <w:szCs w:val="24"/>
                <w:lang w:eastAsia="zh-CN"/>
              </w:rPr>
              <w:t>的</w:t>
            </w:r>
            <w:r>
              <w:rPr>
                <w:rFonts w:hint="eastAsia" w:ascii="仿宋_GB2312" w:hAnsi="仿宋_GB2312" w:eastAsia="仿宋_GB2312" w:cs="仿宋_GB2312"/>
                <w:b w:val="0"/>
                <w:bCs w:val="0"/>
                <w:color w:val="auto"/>
                <w:sz w:val="24"/>
                <w:szCs w:val="24"/>
                <w:lang w:val="en-US" w:eastAsia="zh-CN"/>
              </w:rPr>
              <w:t xml:space="preserve">  </w:t>
            </w:r>
            <w:r>
              <w:rPr>
                <w:rFonts w:hint="eastAsia" w:ascii="仿宋_GB2312" w:hAnsi="仿宋_GB2312" w:eastAsia="仿宋_GB2312" w:cs="仿宋_GB2312"/>
                <w:b w:val="0"/>
                <w:bCs w:val="0"/>
                <w:color w:val="auto"/>
                <w:spacing w:val="-3"/>
                <w:sz w:val="24"/>
                <w:szCs w:val="24"/>
                <w:lang w:val="en-US" w:eastAsia="zh-CN"/>
              </w:rPr>
              <w:t>得 2 分；</w:t>
            </w:r>
            <w:r>
              <w:rPr>
                <w:rFonts w:hint="eastAsia" w:ascii="仿宋_GB2312" w:hAnsi="仿宋_GB2312" w:eastAsia="仿宋_GB2312" w:cs="仿宋_GB2312"/>
                <w:b w:val="0"/>
                <w:bCs w:val="0"/>
                <w:color w:val="auto"/>
                <w:sz w:val="24"/>
                <w:szCs w:val="24"/>
              </w:rPr>
              <w:t>获得市级示范点</w:t>
            </w:r>
            <w:r>
              <w:rPr>
                <w:rFonts w:hint="eastAsia" w:ascii="仿宋_GB2312" w:hAnsi="仿宋_GB2312" w:eastAsia="仿宋_GB2312" w:cs="仿宋_GB2312"/>
                <w:b w:val="0"/>
                <w:bCs w:val="0"/>
                <w:color w:val="auto"/>
                <w:sz w:val="24"/>
                <w:szCs w:val="24"/>
                <w:lang w:eastAsia="zh-CN"/>
              </w:rPr>
              <w:t>的</w:t>
            </w:r>
            <w:r>
              <w:rPr>
                <w:rFonts w:hint="eastAsia" w:ascii="仿宋_GB2312" w:hAnsi="仿宋_GB2312" w:eastAsia="仿宋_GB2312" w:cs="仿宋_GB2312"/>
                <w:b w:val="0"/>
                <w:bCs w:val="0"/>
                <w:color w:val="auto"/>
                <w:spacing w:val="-3"/>
                <w:sz w:val="24"/>
                <w:szCs w:val="24"/>
                <w:lang w:val="en-US" w:eastAsia="zh-CN"/>
              </w:rPr>
              <w:t>，得 1 分。</w:t>
            </w:r>
          </w:p>
        </w:tc>
        <w:tc>
          <w:tcPr>
            <w:tcW w:w="1249" w:type="dxa"/>
            <w:tcBorders>
              <w:left w:val="single" w:color="auto" w:sz="4" w:space="0"/>
            </w:tcBorders>
            <w:vAlign w:val="center"/>
          </w:tcPr>
          <w:p w14:paraId="597B54D1">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p>
          <w:p w14:paraId="7C816306">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07D50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710" w:type="dxa"/>
            <w:tcBorders>
              <w:top w:val="single" w:color="auto" w:sz="4" w:space="0"/>
              <w:left w:val="single" w:color="auto" w:sz="4" w:space="0"/>
              <w:bottom w:val="single" w:color="auto" w:sz="4" w:space="0"/>
            </w:tcBorders>
            <w:vAlign w:val="center"/>
          </w:tcPr>
          <w:p w14:paraId="3C17DE3E">
            <w:pPr>
              <w:pStyle w:val="11"/>
              <w:keepNext w:val="0"/>
              <w:keepLines w:val="0"/>
              <w:pageBreakBefore w:val="0"/>
              <w:widowControl/>
              <w:kinsoku w:val="0"/>
              <w:wordWrap/>
              <w:overflowPunct/>
              <w:topLinePunct w:val="0"/>
              <w:autoSpaceDE w:val="0"/>
              <w:autoSpaceDN w:val="0"/>
              <w:bidi w:val="0"/>
              <w:adjustRightInd w:val="0"/>
              <w:snapToGrid w:val="0"/>
              <w:spacing w:line="236" w:lineRule="auto"/>
              <w:jc w:val="center"/>
              <w:textAlignment w:val="baseline"/>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12</w:t>
            </w:r>
          </w:p>
        </w:tc>
        <w:tc>
          <w:tcPr>
            <w:tcW w:w="1230" w:type="dxa"/>
            <w:vMerge w:val="restart"/>
            <w:tcBorders>
              <w:top w:val="single" w:color="auto" w:sz="4" w:space="0"/>
              <w:right w:val="single" w:color="auto" w:sz="4" w:space="0"/>
            </w:tcBorders>
            <w:vAlign w:val="center"/>
          </w:tcPr>
          <w:p w14:paraId="3750C45C">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p w14:paraId="463322B6">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lang w:val="en-US" w:eastAsia="en-US"/>
              </w:rPr>
            </w:pPr>
          </w:p>
          <w:p w14:paraId="5125D0C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r>
              <w:rPr>
                <w:rFonts w:hint="eastAsia" w:ascii="仿宋_GB2312" w:hAnsi="仿宋_GB2312" w:eastAsia="仿宋_GB2312" w:cs="仿宋_GB2312"/>
                <w:b w:val="0"/>
                <w:bCs w:val="0"/>
                <w:snapToGrid w:val="0"/>
                <w:color w:val="auto"/>
                <w:spacing w:val="-2"/>
                <w:kern w:val="0"/>
                <w:sz w:val="24"/>
                <w:szCs w:val="24"/>
                <w:lang w:val="en-US" w:eastAsia="en-US" w:bidi="ar-SA"/>
              </w:rPr>
              <w:t>综合指标</w:t>
            </w:r>
          </w:p>
          <w:p w14:paraId="7A00B63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snapToGrid w:val="0"/>
                <w:color w:val="auto"/>
                <w:spacing w:val="-2"/>
                <w:kern w:val="0"/>
                <w:sz w:val="24"/>
                <w:szCs w:val="24"/>
                <w:lang w:val="en-US" w:eastAsia="en-US" w:bidi="ar-SA"/>
              </w:rPr>
            </w:pPr>
            <w:r>
              <w:rPr>
                <w:rFonts w:hint="eastAsia" w:ascii="仿宋_GB2312" w:hAnsi="仿宋_GB2312" w:eastAsia="仿宋_GB2312" w:cs="仿宋_GB2312"/>
                <w:b w:val="0"/>
                <w:bCs w:val="0"/>
                <w:snapToGrid w:val="0"/>
                <w:color w:val="auto"/>
                <w:spacing w:val="-2"/>
                <w:kern w:val="0"/>
                <w:sz w:val="24"/>
                <w:szCs w:val="24"/>
                <w:lang w:val="en-US" w:eastAsia="en-US" w:bidi="ar-SA"/>
              </w:rPr>
              <w:t>评分</w:t>
            </w:r>
          </w:p>
          <w:p w14:paraId="2FAF133D">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仿宋_GB2312" w:hAnsi="仿宋_GB2312" w:eastAsia="仿宋_GB2312" w:cs="仿宋_GB2312"/>
                <w:b w:val="0"/>
                <w:bCs w:val="0"/>
                <w:color w:val="auto"/>
                <w:sz w:val="24"/>
                <w:szCs w:val="24"/>
                <w:lang w:val="en-US" w:eastAsia="en-US"/>
              </w:rPr>
            </w:pPr>
          </w:p>
        </w:tc>
        <w:tc>
          <w:tcPr>
            <w:tcW w:w="1304" w:type="dxa"/>
            <w:tcBorders>
              <w:top w:val="single" w:color="auto" w:sz="4" w:space="0"/>
              <w:left w:val="single" w:color="auto" w:sz="4" w:space="0"/>
              <w:bottom w:val="single" w:color="auto" w:sz="4" w:space="0"/>
            </w:tcBorders>
            <w:vAlign w:val="center"/>
          </w:tcPr>
          <w:p w14:paraId="5BCA9E9F">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6"/>
                <w:sz w:val="24"/>
                <w:szCs w:val="24"/>
                <w:lang w:eastAsia="zh-CN"/>
              </w:rPr>
            </w:pPr>
            <w:r>
              <w:rPr>
                <w:rFonts w:hint="eastAsia" w:ascii="仿宋_GB2312" w:hAnsi="仿宋_GB2312" w:eastAsia="仿宋_GB2312" w:cs="仿宋_GB2312"/>
                <w:b w:val="0"/>
                <w:bCs w:val="0"/>
                <w:color w:val="auto"/>
                <w:spacing w:val="-6"/>
                <w:sz w:val="24"/>
                <w:szCs w:val="24"/>
                <w:lang w:eastAsia="zh-CN"/>
              </w:rPr>
              <w:t>培训资质（</w:t>
            </w:r>
            <w:r>
              <w:rPr>
                <w:rFonts w:hint="eastAsia" w:ascii="仿宋_GB2312" w:hAnsi="仿宋_GB2312" w:eastAsia="仿宋_GB2312" w:cs="仿宋_GB2312"/>
                <w:b w:val="0"/>
                <w:bCs w:val="0"/>
                <w:color w:val="auto"/>
                <w:spacing w:val="-6"/>
                <w:sz w:val="24"/>
                <w:szCs w:val="24"/>
                <w:lang w:val="en-US" w:eastAsia="zh-CN"/>
              </w:rPr>
              <w:t>10</w:t>
            </w:r>
            <w:r>
              <w:rPr>
                <w:rFonts w:hint="eastAsia" w:ascii="仿宋_GB2312" w:hAnsi="仿宋_GB2312" w:eastAsia="仿宋_GB2312" w:cs="仿宋_GB2312"/>
                <w:b w:val="0"/>
                <w:bCs w:val="0"/>
                <w:color w:val="auto"/>
                <w:spacing w:val="-6"/>
                <w:sz w:val="24"/>
                <w:szCs w:val="24"/>
                <w:lang w:eastAsia="zh-CN"/>
              </w:rPr>
              <w:t>分）</w:t>
            </w:r>
          </w:p>
        </w:tc>
        <w:tc>
          <w:tcPr>
            <w:tcW w:w="10136" w:type="dxa"/>
            <w:tcBorders>
              <w:right w:val="single" w:color="auto" w:sz="4" w:space="0"/>
            </w:tcBorders>
            <w:vAlign w:val="center"/>
          </w:tcPr>
          <w:p w14:paraId="47C3EA0D">
            <w:pPr>
              <w:pStyle w:val="11"/>
              <w:keepNext w:val="0"/>
              <w:keepLines w:val="0"/>
              <w:pageBreakBefore w:val="0"/>
              <w:widowControl/>
              <w:kinsoku w:val="0"/>
              <w:wordWrap/>
              <w:overflowPunct/>
              <w:topLinePunct w:val="0"/>
              <w:autoSpaceDE w:val="0"/>
              <w:autoSpaceDN w:val="0"/>
              <w:bidi w:val="0"/>
              <w:adjustRightInd w:val="0"/>
              <w:snapToGrid w:val="0"/>
              <w:spacing w:line="214" w:lineRule="auto"/>
              <w:ind w:left="113"/>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3"/>
                <w:sz w:val="24"/>
                <w:szCs w:val="24"/>
              </w:rPr>
              <w:t>具有医疗护理员、老年人能力评估、养老护理员、健康照护师等相关职业技能等级认定机构和培训资质</w:t>
            </w:r>
            <w:r>
              <w:rPr>
                <w:rFonts w:hint="eastAsia" w:ascii="仿宋_GB2312" w:hAnsi="仿宋_GB2312" w:eastAsia="仿宋_GB2312" w:cs="仿宋_GB2312"/>
                <w:b w:val="0"/>
                <w:bCs w:val="0"/>
                <w:color w:val="auto"/>
                <w:spacing w:val="-3"/>
                <w:sz w:val="24"/>
                <w:szCs w:val="24"/>
                <w:lang w:eastAsia="zh-CN"/>
              </w:rPr>
              <w:t>的，</w:t>
            </w:r>
            <w:r>
              <w:rPr>
                <w:rFonts w:hint="eastAsia" w:ascii="仿宋_GB2312" w:hAnsi="仿宋_GB2312" w:eastAsia="仿宋_GB2312" w:cs="仿宋_GB2312"/>
                <w:b w:val="0"/>
                <w:bCs w:val="0"/>
                <w:color w:val="auto"/>
                <w:spacing w:val="-3"/>
                <w:sz w:val="24"/>
                <w:szCs w:val="24"/>
              </w:rPr>
              <w:t xml:space="preserve">得 </w:t>
            </w:r>
            <w:r>
              <w:rPr>
                <w:rFonts w:hint="eastAsia" w:ascii="仿宋_GB2312" w:hAnsi="仿宋_GB2312" w:eastAsia="仿宋_GB2312" w:cs="仿宋_GB2312"/>
                <w:b w:val="0"/>
                <w:bCs w:val="0"/>
                <w:color w:val="auto"/>
                <w:spacing w:val="-3"/>
                <w:sz w:val="24"/>
                <w:szCs w:val="24"/>
                <w:lang w:val="en-US" w:eastAsia="zh-CN"/>
              </w:rPr>
              <w:t>10</w:t>
            </w:r>
            <w:r>
              <w:rPr>
                <w:rFonts w:hint="eastAsia" w:ascii="仿宋_GB2312" w:hAnsi="仿宋_GB2312" w:eastAsia="仿宋_GB2312" w:cs="仿宋_GB2312"/>
                <w:b w:val="0"/>
                <w:bCs w:val="0"/>
                <w:color w:val="auto"/>
                <w:spacing w:val="-3"/>
                <w:sz w:val="24"/>
                <w:szCs w:val="24"/>
              </w:rPr>
              <w:t xml:space="preserve"> 分。</w:t>
            </w:r>
          </w:p>
        </w:tc>
        <w:tc>
          <w:tcPr>
            <w:tcW w:w="1249" w:type="dxa"/>
            <w:tcBorders>
              <w:left w:val="single" w:color="auto" w:sz="4" w:space="0"/>
            </w:tcBorders>
            <w:vAlign w:val="center"/>
          </w:tcPr>
          <w:p w14:paraId="3274C39E">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p>
          <w:p w14:paraId="7AD1C553">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6EC7C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710" w:type="dxa"/>
            <w:tcBorders>
              <w:top w:val="single" w:color="auto" w:sz="4" w:space="0"/>
              <w:left w:val="single" w:color="auto" w:sz="4" w:space="0"/>
              <w:bottom w:val="single" w:color="auto" w:sz="4" w:space="0"/>
            </w:tcBorders>
            <w:vAlign w:val="center"/>
          </w:tcPr>
          <w:p w14:paraId="6673DE75">
            <w:pPr>
              <w:pStyle w:val="11"/>
              <w:keepNext w:val="0"/>
              <w:keepLines w:val="0"/>
              <w:pageBreakBefore w:val="0"/>
              <w:widowControl/>
              <w:kinsoku w:val="0"/>
              <w:wordWrap/>
              <w:overflowPunct/>
              <w:topLinePunct w:val="0"/>
              <w:autoSpaceDE w:val="0"/>
              <w:autoSpaceDN w:val="0"/>
              <w:bidi w:val="0"/>
              <w:adjustRightInd w:val="0"/>
              <w:snapToGrid w:val="0"/>
              <w:spacing w:line="236" w:lineRule="auto"/>
              <w:jc w:val="center"/>
              <w:textAlignment w:val="baseline"/>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13</w:t>
            </w:r>
          </w:p>
        </w:tc>
        <w:tc>
          <w:tcPr>
            <w:tcW w:w="1230" w:type="dxa"/>
            <w:vMerge w:val="continue"/>
            <w:tcBorders>
              <w:right w:val="single" w:color="auto" w:sz="4" w:space="0"/>
            </w:tcBorders>
            <w:vAlign w:val="center"/>
          </w:tcPr>
          <w:p w14:paraId="7584900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top w:val="single" w:color="auto" w:sz="4" w:space="0"/>
              <w:left w:val="single" w:color="auto" w:sz="4" w:space="0"/>
              <w:bottom w:val="single" w:color="auto" w:sz="4" w:space="0"/>
            </w:tcBorders>
            <w:vAlign w:val="center"/>
          </w:tcPr>
          <w:p w14:paraId="79D28800">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6"/>
                <w:sz w:val="24"/>
                <w:szCs w:val="24"/>
                <w:lang w:eastAsia="zh-CN"/>
              </w:rPr>
            </w:pPr>
            <w:r>
              <w:rPr>
                <w:rFonts w:hint="eastAsia" w:ascii="仿宋_GB2312" w:hAnsi="仿宋_GB2312" w:eastAsia="仿宋_GB2312" w:cs="仿宋_GB2312"/>
                <w:b w:val="0"/>
                <w:bCs w:val="0"/>
                <w:color w:val="auto"/>
                <w:spacing w:val="-6"/>
                <w:sz w:val="24"/>
                <w:szCs w:val="24"/>
                <w:lang w:eastAsia="zh-CN"/>
              </w:rPr>
              <w:t>培训经验（</w:t>
            </w:r>
            <w:r>
              <w:rPr>
                <w:rFonts w:hint="eastAsia" w:ascii="仿宋_GB2312" w:hAnsi="仿宋_GB2312" w:eastAsia="仿宋_GB2312" w:cs="仿宋_GB2312"/>
                <w:b w:val="0"/>
                <w:bCs w:val="0"/>
                <w:color w:val="auto"/>
                <w:spacing w:val="-6"/>
                <w:sz w:val="24"/>
                <w:szCs w:val="24"/>
                <w:lang w:val="en-US" w:eastAsia="zh-CN"/>
              </w:rPr>
              <w:t>10</w:t>
            </w:r>
            <w:r>
              <w:rPr>
                <w:rFonts w:hint="eastAsia" w:ascii="仿宋_GB2312" w:hAnsi="仿宋_GB2312" w:eastAsia="仿宋_GB2312" w:cs="仿宋_GB2312"/>
                <w:b w:val="0"/>
                <w:bCs w:val="0"/>
                <w:color w:val="auto"/>
                <w:spacing w:val="-6"/>
                <w:sz w:val="24"/>
                <w:szCs w:val="24"/>
                <w:lang w:eastAsia="zh-CN"/>
              </w:rPr>
              <w:t>分）</w:t>
            </w:r>
          </w:p>
        </w:tc>
        <w:tc>
          <w:tcPr>
            <w:tcW w:w="10136" w:type="dxa"/>
            <w:tcBorders>
              <w:right w:val="single" w:color="auto" w:sz="4" w:space="0"/>
            </w:tcBorders>
            <w:vAlign w:val="center"/>
          </w:tcPr>
          <w:p w14:paraId="722DC843">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113" w:right="187" w:firstLine="11"/>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z w:val="24"/>
                <w:szCs w:val="24"/>
                <w:lang w:eastAsia="zh-CN"/>
              </w:rPr>
              <w:t>近3年开展业务类事项培训≥</w:t>
            </w:r>
            <w:r>
              <w:rPr>
                <w:rFonts w:hint="eastAsia" w:ascii="仿宋_GB2312" w:hAnsi="仿宋_GB2312" w:eastAsia="仿宋_GB2312" w:cs="仿宋_GB2312"/>
                <w:b w:val="0"/>
                <w:bCs w:val="0"/>
                <w:color w:val="auto"/>
                <w:sz w:val="24"/>
                <w:szCs w:val="24"/>
                <w:lang w:val="en-US" w:eastAsia="zh-CN"/>
              </w:rPr>
              <w:t>10</w:t>
            </w:r>
            <w:r>
              <w:rPr>
                <w:rFonts w:hint="eastAsia" w:ascii="仿宋_GB2312" w:hAnsi="仿宋_GB2312" w:eastAsia="仿宋_GB2312" w:cs="仿宋_GB2312"/>
                <w:b w:val="0"/>
                <w:bCs w:val="0"/>
                <w:color w:val="auto"/>
                <w:sz w:val="24"/>
                <w:szCs w:val="24"/>
                <w:lang w:eastAsia="zh-CN"/>
              </w:rPr>
              <w:t>场次得10分； 4–7场得7分；1–3场得3分；无经验不得分。</w:t>
            </w:r>
          </w:p>
        </w:tc>
        <w:tc>
          <w:tcPr>
            <w:tcW w:w="1249" w:type="dxa"/>
            <w:tcBorders>
              <w:left w:val="single" w:color="auto" w:sz="4" w:space="0"/>
            </w:tcBorders>
            <w:vAlign w:val="center"/>
          </w:tcPr>
          <w:p w14:paraId="087A7B63">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p>
          <w:p w14:paraId="32F6FA64">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38F3E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710" w:type="dxa"/>
            <w:tcBorders>
              <w:top w:val="single" w:color="auto" w:sz="4" w:space="0"/>
              <w:left w:val="single" w:color="auto" w:sz="4" w:space="0"/>
              <w:bottom w:val="single" w:color="auto" w:sz="4" w:space="0"/>
            </w:tcBorders>
            <w:vAlign w:val="center"/>
          </w:tcPr>
          <w:p w14:paraId="47D49425">
            <w:pPr>
              <w:pStyle w:val="11"/>
              <w:keepNext w:val="0"/>
              <w:keepLines w:val="0"/>
              <w:pageBreakBefore w:val="0"/>
              <w:widowControl/>
              <w:kinsoku w:val="0"/>
              <w:wordWrap/>
              <w:overflowPunct/>
              <w:topLinePunct w:val="0"/>
              <w:autoSpaceDE w:val="0"/>
              <w:autoSpaceDN w:val="0"/>
              <w:bidi w:val="0"/>
              <w:adjustRightInd w:val="0"/>
              <w:snapToGrid w:val="0"/>
              <w:spacing w:line="236" w:lineRule="auto"/>
              <w:jc w:val="center"/>
              <w:textAlignment w:val="baseline"/>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14</w:t>
            </w:r>
          </w:p>
        </w:tc>
        <w:tc>
          <w:tcPr>
            <w:tcW w:w="1230" w:type="dxa"/>
            <w:vMerge w:val="continue"/>
            <w:tcBorders>
              <w:right w:val="single" w:color="auto" w:sz="4" w:space="0"/>
            </w:tcBorders>
            <w:vAlign w:val="center"/>
          </w:tcPr>
          <w:p w14:paraId="145781E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top w:val="single" w:color="auto" w:sz="4" w:space="0"/>
              <w:left w:val="single" w:color="auto" w:sz="4" w:space="0"/>
              <w:bottom w:val="single" w:color="auto" w:sz="4" w:space="0"/>
            </w:tcBorders>
            <w:vAlign w:val="center"/>
          </w:tcPr>
          <w:p w14:paraId="1135FFDB">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6"/>
                <w:sz w:val="24"/>
                <w:szCs w:val="24"/>
                <w:lang w:eastAsia="zh-CN"/>
              </w:rPr>
            </w:pPr>
            <w:r>
              <w:rPr>
                <w:rFonts w:hint="eastAsia" w:ascii="仿宋_GB2312" w:hAnsi="仿宋_GB2312" w:eastAsia="仿宋_GB2312" w:cs="仿宋_GB2312"/>
                <w:b w:val="0"/>
                <w:bCs w:val="0"/>
                <w:color w:val="auto"/>
                <w:spacing w:val="-5"/>
                <w:sz w:val="24"/>
                <w:szCs w:val="24"/>
              </w:rPr>
              <w:t>制度</w:t>
            </w:r>
            <w:r>
              <w:rPr>
                <w:rFonts w:hint="eastAsia" w:ascii="仿宋_GB2312" w:hAnsi="仿宋_GB2312" w:eastAsia="仿宋_GB2312" w:cs="仿宋_GB2312"/>
                <w:b w:val="0"/>
                <w:bCs w:val="0"/>
                <w:color w:val="auto"/>
                <w:spacing w:val="-5"/>
                <w:sz w:val="24"/>
                <w:szCs w:val="24"/>
                <w:lang w:eastAsia="zh-CN"/>
              </w:rPr>
              <w:t>建设</w:t>
            </w:r>
            <w:r>
              <w:rPr>
                <w:rFonts w:hint="eastAsia" w:ascii="仿宋_GB2312" w:hAnsi="仿宋_GB2312" w:eastAsia="仿宋_GB2312" w:cs="仿宋_GB2312"/>
                <w:b w:val="0"/>
                <w:bCs w:val="0"/>
                <w:color w:val="auto"/>
                <w:spacing w:val="-6"/>
                <w:sz w:val="24"/>
                <w:szCs w:val="24"/>
                <w:lang w:eastAsia="zh-CN"/>
              </w:rPr>
              <w:t>（</w:t>
            </w:r>
            <w:r>
              <w:rPr>
                <w:rFonts w:hint="eastAsia" w:ascii="仿宋_GB2312" w:hAnsi="仿宋_GB2312" w:eastAsia="仿宋_GB2312" w:cs="仿宋_GB2312"/>
                <w:b w:val="0"/>
                <w:bCs w:val="0"/>
                <w:color w:val="auto"/>
                <w:spacing w:val="-6"/>
                <w:sz w:val="24"/>
                <w:szCs w:val="24"/>
                <w:lang w:val="en-US" w:eastAsia="zh-CN"/>
              </w:rPr>
              <w:t>10</w:t>
            </w:r>
            <w:r>
              <w:rPr>
                <w:rFonts w:hint="eastAsia" w:ascii="仿宋_GB2312" w:hAnsi="仿宋_GB2312" w:eastAsia="仿宋_GB2312" w:cs="仿宋_GB2312"/>
                <w:b w:val="0"/>
                <w:bCs w:val="0"/>
                <w:color w:val="auto"/>
                <w:spacing w:val="-6"/>
                <w:sz w:val="24"/>
                <w:szCs w:val="24"/>
                <w:lang w:eastAsia="zh-CN"/>
              </w:rPr>
              <w:t>分）</w:t>
            </w:r>
          </w:p>
        </w:tc>
        <w:tc>
          <w:tcPr>
            <w:tcW w:w="10136" w:type="dxa"/>
            <w:tcBorders>
              <w:right w:val="single" w:color="auto" w:sz="4" w:space="0"/>
            </w:tcBorders>
            <w:vAlign w:val="center"/>
          </w:tcPr>
          <w:p w14:paraId="1365549D">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113" w:right="113" w:firstLine="11"/>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3"/>
                <w:sz w:val="24"/>
                <w:szCs w:val="24"/>
                <w:lang w:val="en-US" w:eastAsia="zh-CN"/>
              </w:rPr>
              <w:t>1.</w:t>
            </w:r>
            <w:r>
              <w:rPr>
                <w:rFonts w:hint="eastAsia" w:ascii="仿宋_GB2312" w:hAnsi="仿宋_GB2312" w:eastAsia="仿宋_GB2312" w:cs="仿宋_GB2312"/>
                <w:b w:val="0"/>
                <w:bCs w:val="0"/>
                <w:color w:val="auto"/>
                <w:spacing w:val="-3"/>
                <w:sz w:val="24"/>
                <w:szCs w:val="24"/>
              </w:rPr>
              <w:t xml:space="preserve">有长期护理保险失能等级评估的专项人才培训方案，得 </w:t>
            </w:r>
            <w:r>
              <w:rPr>
                <w:rFonts w:hint="eastAsia" w:ascii="仿宋_GB2312" w:hAnsi="仿宋_GB2312" w:eastAsia="仿宋_GB2312" w:cs="仿宋_GB2312"/>
                <w:b w:val="0"/>
                <w:bCs w:val="0"/>
                <w:color w:val="auto"/>
                <w:spacing w:val="-3"/>
                <w:sz w:val="24"/>
                <w:szCs w:val="24"/>
                <w:lang w:val="en-US" w:eastAsia="zh-CN"/>
              </w:rPr>
              <w:t>3</w:t>
            </w:r>
            <w:r>
              <w:rPr>
                <w:rFonts w:hint="eastAsia" w:ascii="仿宋_GB2312" w:hAnsi="仿宋_GB2312" w:eastAsia="仿宋_GB2312" w:cs="仿宋_GB2312"/>
                <w:b w:val="0"/>
                <w:bCs w:val="0"/>
                <w:color w:val="auto"/>
                <w:spacing w:val="-3"/>
                <w:sz w:val="24"/>
                <w:szCs w:val="24"/>
              </w:rPr>
              <w:t xml:space="preserve"> 分。</w:t>
            </w:r>
          </w:p>
          <w:p w14:paraId="29CF6B28">
            <w:pPr>
              <w:pStyle w:val="11"/>
              <w:keepNext w:val="0"/>
              <w:keepLines w:val="0"/>
              <w:pageBreakBefore w:val="0"/>
              <w:widowControl/>
              <w:kinsoku w:val="0"/>
              <w:wordWrap/>
              <w:overflowPunct/>
              <w:topLinePunct w:val="0"/>
              <w:autoSpaceDE w:val="0"/>
              <w:autoSpaceDN w:val="0"/>
              <w:bidi w:val="0"/>
              <w:adjustRightInd w:val="0"/>
              <w:snapToGrid w:val="0"/>
              <w:spacing w:line="236" w:lineRule="auto"/>
              <w:ind w:left="113" w:right="113" w:firstLine="11"/>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3"/>
                <w:sz w:val="24"/>
                <w:szCs w:val="24"/>
                <w:lang w:val="en-US" w:eastAsia="zh-CN"/>
              </w:rPr>
              <w:t>2.</w:t>
            </w:r>
            <w:r>
              <w:rPr>
                <w:rFonts w:hint="eastAsia" w:ascii="仿宋_GB2312" w:hAnsi="仿宋_GB2312" w:eastAsia="仿宋_GB2312" w:cs="仿宋_GB2312"/>
                <w:b w:val="0"/>
                <w:bCs w:val="0"/>
                <w:color w:val="auto"/>
                <w:spacing w:val="-3"/>
                <w:sz w:val="24"/>
                <w:szCs w:val="24"/>
              </w:rPr>
              <w:t>具备与长期护理保险培训管理相适应的培训管理、安全管理、人员管理</w:t>
            </w:r>
            <w:r>
              <w:rPr>
                <w:rFonts w:hint="eastAsia" w:ascii="仿宋_GB2312" w:hAnsi="仿宋_GB2312" w:eastAsia="仿宋_GB2312" w:cs="仿宋_GB2312"/>
                <w:b w:val="0"/>
                <w:bCs w:val="0"/>
                <w:color w:val="auto"/>
                <w:spacing w:val="-3"/>
                <w:sz w:val="24"/>
                <w:szCs w:val="24"/>
                <w:lang w:eastAsia="zh-CN"/>
              </w:rPr>
              <w:t>、</w:t>
            </w:r>
            <w:r>
              <w:rPr>
                <w:rFonts w:hint="eastAsia" w:ascii="仿宋_GB2312" w:hAnsi="仿宋_GB2312" w:eastAsia="仿宋_GB2312" w:cs="仿宋_GB2312"/>
                <w:b w:val="0"/>
                <w:bCs w:val="0"/>
                <w:color w:val="auto"/>
                <w:spacing w:val="-3"/>
                <w:sz w:val="24"/>
                <w:szCs w:val="24"/>
              </w:rPr>
              <w:t>应急制度、风险管理</w:t>
            </w:r>
            <w:r>
              <w:rPr>
                <w:rFonts w:hint="eastAsia" w:ascii="仿宋_GB2312" w:hAnsi="仿宋_GB2312" w:eastAsia="仿宋_GB2312" w:cs="仿宋_GB2312"/>
                <w:b w:val="0"/>
                <w:bCs w:val="0"/>
                <w:color w:val="auto"/>
                <w:spacing w:val="-3"/>
                <w:sz w:val="24"/>
                <w:szCs w:val="24"/>
                <w:lang w:eastAsia="zh-CN"/>
              </w:rPr>
              <w:t>等</w:t>
            </w:r>
            <w:r>
              <w:rPr>
                <w:rFonts w:hint="eastAsia" w:ascii="仿宋_GB2312" w:hAnsi="仿宋_GB2312" w:eastAsia="仿宋_GB2312" w:cs="仿宋_GB2312"/>
                <w:b w:val="0"/>
                <w:bCs w:val="0"/>
                <w:color w:val="auto"/>
                <w:spacing w:val="-3"/>
                <w:sz w:val="24"/>
                <w:szCs w:val="24"/>
              </w:rPr>
              <w:t xml:space="preserve">制度，有一项得 1 分，最高得 </w:t>
            </w:r>
            <w:r>
              <w:rPr>
                <w:rFonts w:hint="eastAsia" w:ascii="仿宋_GB2312" w:hAnsi="仿宋_GB2312" w:eastAsia="仿宋_GB2312" w:cs="仿宋_GB2312"/>
                <w:b w:val="0"/>
                <w:bCs w:val="0"/>
                <w:color w:val="auto"/>
                <w:spacing w:val="-3"/>
                <w:sz w:val="24"/>
                <w:szCs w:val="24"/>
                <w:lang w:val="en-US" w:eastAsia="zh-CN"/>
              </w:rPr>
              <w:t xml:space="preserve">7 </w:t>
            </w:r>
            <w:r>
              <w:rPr>
                <w:rFonts w:hint="eastAsia" w:ascii="仿宋_GB2312" w:hAnsi="仿宋_GB2312" w:eastAsia="仿宋_GB2312" w:cs="仿宋_GB2312"/>
                <w:b w:val="0"/>
                <w:bCs w:val="0"/>
                <w:color w:val="auto"/>
                <w:spacing w:val="-3"/>
                <w:sz w:val="24"/>
                <w:szCs w:val="24"/>
              </w:rPr>
              <w:t>分。</w:t>
            </w:r>
          </w:p>
        </w:tc>
        <w:tc>
          <w:tcPr>
            <w:tcW w:w="1249" w:type="dxa"/>
            <w:tcBorders>
              <w:left w:val="single" w:color="auto" w:sz="4" w:space="0"/>
            </w:tcBorders>
            <w:vAlign w:val="center"/>
          </w:tcPr>
          <w:p w14:paraId="314F85FF">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p>
          <w:p w14:paraId="09C2BC06">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36B61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trPr>
        <w:tc>
          <w:tcPr>
            <w:tcW w:w="710" w:type="dxa"/>
            <w:tcBorders>
              <w:top w:val="single" w:color="auto" w:sz="4" w:space="0"/>
              <w:left w:val="single" w:color="auto" w:sz="4" w:space="0"/>
              <w:bottom w:val="single" w:color="auto" w:sz="4" w:space="0"/>
            </w:tcBorders>
            <w:vAlign w:val="center"/>
          </w:tcPr>
          <w:p w14:paraId="75CEB6EA">
            <w:pPr>
              <w:pStyle w:val="11"/>
              <w:keepNext w:val="0"/>
              <w:keepLines w:val="0"/>
              <w:pageBreakBefore w:val="0"/>
              <w:widowControl/>
              <w:kinsoku w:val="0"/>
              <w:wordWrap/>
              <w:overflowPunct/>
              <w:topLinePunct w:val="0"/>
              <w:autoSpaceDE w:val="0"/>
              <w:autoSpaceDN w:val="0"/>
              <w:bidi w:val="0"/>
              <w:adjustRightInd w:val="0"/>
              <w:snapToGrid w:val="0"/>
              <w:spacing w:line="236" w:lineRule="auto"/>
              <w:jc w:val="center"/>
              <w:textAlignment w:val="baseline"/>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15</w:t>
            </w:r>
          </w:p>
        </w:tc>
        <w:tc>
          <w:tcPr>
            <w:tcW w:w="1230" w:type="dxa"/>
            <w:vMerge w:val="continue"/>
            <w:tcBorders>
              <w:bottom w:val="single" w:color="auto" w:sz="4" w:space="0"/>
              <w:right w:val="single" w:color="auto" w:sz="4" w:space="0"/>
            </w:tcBorders>
            <w:vAlign w:val="center"/>
          </w:tcPr>
          <w:p w14:paraId="346838B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仿宋_GB2312" w:hAnsi="仿宋_GB2312" w:eastAsia="仿宋_GB2312" w:cs="仿宋_GB2312"/>
                <w:b w:val="0"/>
                <w:bCs w:val="0"/>
                <w:color w:val="auto"/>
                <w:sz w:val="24"/>
                <w:szCs w:val="24"/>
              </w:rPr>
            </w:pPr>
          </w:p>
        </w:tc>
        <w:tc>
          <w:tcPr>
            <w:tcW w:w="1304" w:type="dxa"/>
            <w:tcBorders>
              <w:top w:val="single" w:color="auto" w:sz="4" w:space="0"/>
              <w:left w:val="single" w:color="auto" w:sz="4" w:space="0"/>
              <w:bottom w:val="single" w:color="auto" w:sz="4" w:space="0"/>
            </w:tcBorders>
            <w:vAlign w:val="center"/>
          </w:tcPr>
          <w:p w14:paraId="42772C2E">
            <w:pPr>
              <w:pStyle w:val="11"/>
              <w:keepNext w:val="0"/>
              <w:keepLines w:val="0"/>
              <w:pageBreakBefore w:val="0"/>
              <w:widowControl/>
              <w:kinsoku w:val="0"/>
              <w:wordWrap/>
              <w:overflowPunct/>
              <w:topLinePunct w:val="0"/>
              <w:autoSpaceDE w:val="0"/>
              <w:autoSpaceDN w:val="0"/>
              <w:bidi w:val="0"/>
              <w:adjustRightInd w:val="0"/>
              <w:snapToGrid w:val="0"/>
              <w:spacing w:line="248" w:lineRule="auto"/>
              <w:ind w:right="0" w:firstLine="234" w:firstLineChars="100"/>
              <w:jc w:val="both"/>
              <w:textAlignment w:val="baseline"/>
              <w:rPr>
                <w:rFonts w:hint="eastAsia" w:ascii="仿宋_GB2312" w:hAnsi="仿宋_GB2312" w:eastAsia="仿宋_GB2312" w:cs="仿宋_GB2312"/>
                <w:b w:val="0"/>
                <w:bCs w:val="0"/>
                <w:color w:val="auto"/>
                <w:spacing w:val="-3"/>
                <w:sz w:val="24"/>
                <w:szCs w:val="24"/>
                <w:lang w:val="en-US" w:eastAsia="zh-CN"/>
              </w:rPr>
            </w:pPr>
            <w:r>
              <w:rPr>
                <w:rFonts w:hint="eastAsia" w:ascii="仿宋_GB2312" w:hAnsi="仿宋_GB2312" w:eastAsia="仿宋_GB2312" w:cs="仿宋_GB2312"/>
                <w:b w:val="0"/>
                <w:bCs w:val="0"/>
                <w:color w:val="auto"/>
                <w:spacing w:val="-3"/>
                <w:sz w:val="24"/>
                <w:szCs w:val="24"/>
                <w:lang w:val="en-US" w:eastAsia="zh-CN"/>
              </w:rPr>
              <w:t>信息系统</w:t>
            </w:r>
          </w:p>
          <w:p w14:paraId="5AD01571">
            <w:pPr>
              <w:pStyle w:val="11"/>
              <w:keepNext w:val="0"/>
              <w:keepLines w:val="0"/>
              <w:pageBreakBefore w:val="0"/>
              <w:widowControl/>
              <w:kinsoku w:val="0"/>
              <w:wordWrap/>
              <w:overflowPunct/>
              <w:topLinePunct w:val="0"/>
              <w:autoSpaceDE w:val="0"/>
              <w:autoSpaceDN w:val="0"/>
              <w:bidi w:val="0"/>
              <w:adjustRightInd w:val="0"/>
              <w:snapToGrid w:val="0"/>
              <w:spacing w:line="338" w:lineRule="auto"/>
              <w:ind w:left="140" w:right="148" w:firstLine="35"/>
              <w:textAlignment w:val="baseline"/>
              <w:rPr>
                <w:rFonts w:hint="eastAsia" w:ascii="仿宋_GB2312" w:hAnsi="仿宋_GB2312" w:eastAsia="仿宋_GB2312" w:cs="仿宋_GB2312"/>
                <w:b w:val="0"/>
                <w:bCs w:val="0"/>
                <w:color w:val="auto"/>
                <w:spacing w:val="-6"/>
                <w:sz w:val="24"/>
                <w:szCs w:val="24"/>
                <w:lang w:eastAsia="zh-CN"/>
              </w:rPr>
            </w:pPr>
            <w:r>
              <w:rPr>
                <w:rFonts w:hint="eastAsia" w:ascii="仿宋_GB2312" w:hAnsi="仿宋_GB2312" w:eastAsia="仿宋_GB2312" w:cs="仿宋_GB2312"/>
                <w:b w:val="0"/>
                <w:bCs w:val="0"/>
                <w:color w:val="auto"/>
                <w:spacing w:val="-3"/>
                <w:sz w:val="24"/>
                <w:szCs w:val="24"/>
                <w:lang w:val="en-US" w:eastAsia="zh-CN"/>
              </w:rPr>
              <w:t>（7分）</w:t>
            </w:r>
          </w:p>
        </w:tc>
        <w:tc>
          <w:tcPr>
            <w:tcW w:w="10136" w:type="dxa"/>
            <w:tcBorders>
              <w:right w:val="single" w:color="auto" w:sz="4" w:space="0"/>
            </w:tcBorders>
            <w:vAlign w:val="center"/>
          </w:tcPr>
          <w:p w14:paraId="172B22B3">
            <w:pPr>
              <w:pStyle w:val="11"/>
              <w:keepNext w:val="0"/>
              <w:keepLines w:val="0"/>
              <w:pageBreakBefore w:val="0"/>
              <w:widowControl/>
              <w:kinsoku w:val="0"/>
              <w:wordWrap/>
              <w:overflowPunct/>
              <w:topLinePunct w:val="0"/>
              <w:autoSpaceDE w:val="0"/>
              <w:autoSpaceDN w:val="0"/>
              <w:bidi w:val="0"/>
              <w:adjustRightInd w:val="0"/>
              <w:snapToGrid w:val="0"/>
              <w:spacing w:line="248" w:lineRule="auto"/>
              <w:ind w:left="105" w:leftChars="50" w:right="0"/>
              <w:jc w:val="both"/>
              <w:textAlignment w:val="baseline"/>
              <w:rPr>
                <w:rFonts w:hint="eastAsia" w:ascii="仿宋_GB2312" w:hAnsi="仿宋_GB2312" w:eastAsia="仿宋_GB2312" w:cs="仿宋_GB2312"/>
                <w:b w:val="0"/>
                <w:bCs w:val="0"/>
                <w:color w:val="auto"/>
                <w:spacing w:val="-3"/>
                <w:sz w:val="24"/>
                <w:szCs w:val="24"/>
                <w:lang w:val="en-US" w:eastAsia="zh-CN"/>
              </w:rPr>
            </w:pPr>
            <w:r>
              <w:rPr>
                <w:rFonts w:hint="eastAsia" w:ascii="仿宋_GB2312" w:hAnsi="仿宋_GB2312" w:eastAsia="仿宋_GB2312" w:cs="仿宋_GB2312"/>
                <w:b w:val="0"/>
                <w:bCs w:val="0"/>
                <w:color w:val="auto"/>
                <w:spacing w:val="-3"/>
                <w:sz w:val="24"/>
                <w:szCs w:val="24"/>
                <w:lang w:val="en-US" w:eastAsia="zh-CN"/>
              </w:rPr>
              <w:t>1.建立信息安全内控制度且提供相关文件的，得 4 分。</w:t>
            </w:r>
          </w:p>
          <w:p w14:paraId="3EDDCDCD">
            <w:pPr>
              <w:pStyle w:val="11"/>
              <w:keepNext w:val="0"/>
              <w:keepLines w:val="0"/>
              <w:pageBreakBefore w:val="0"/>
              <w:widowControl/>
              <w:kinsoku w:val="0"/>
              <w:wordWrap/>
              <w:overflowPunct/>
              <w:topLinePunct w:val="0"/>
              <w:autoSpaceDE w:val="0"/>
              <w:autoSpaceDN w:val="0"/>
              <w:bidi w:val="0"/>
              <w:adjustRightInd w:val="0"/>
              <w:snapToGrid w:val="0"/>
              <w:spacing w:line="248" w:lineRule="auto"/>
              <w:ind w:left="105" w:leftChars="50" w:right="0"/>
              <w:jc w:val="both"/>
              <w:textAlignment w:val="baseline"/>
              <w:rPr>
                <w:rFonts w:hint="eastAsia" w:ascii="仿宋_GB2312" w:hAnsi="仿宋_GB2312" w:eastAsia="仿宋_GB2312" w:cs="仿宋_GB2312"/>
                <w:b w:val="0"/>
                <w:bCs w:val="0"/>
                <w:color w:val="auto"/>
                <w:spacing w:val="-3"/>
                <w:sz w:val="24"/>
                <w:szCs w:val="24"/>
              </w:rPr>
            </w:pPr>
            <w:r>
              <w:rPr>
                <w:rFonts w:hint="eastAsia" w:ascii="仿宋_GB2312" w:hAnsi="仿宋_GB2312" w:eastAsia="仿宋_GB2312" w:cs="仿宋_GB2312"/>
                <w:b w:val="0"/>
                <w:bCs w:val="0"/>
                <w:color w:val="auto"/>
                <w:spacing w:val="-3"/>
                <w:sz w:val="24"/>
                <w:szCs w:val="24"/>
                <w:lang w:val="en-US" w:eastAsia="zh-CN"/>
              </w:rPr>
              <w:t>2.</w:t>
            </w:r>
            <w:r>
              <w:rPr>
                <w:rFonts w:hint="eastAsia" w:ascii="仿宋_GB2312" w:hAnsi="仿宋_GB2312" w:eastAsia="仿宋_GB2312" w:cs="仿宋_GB2312"/>
                <w:b w:val="0"/>
                <w:bCs w:val="0"/>
                <w:color w:val="auto"/>
                <w:spacing w:val="-3"/>
                <w:sz w:val="24"/>
                <w:szCs w:val="24"/>
              </w:rPr>
              <w:t>承诺实行电子化档案管理的，得</w:t>
            </w:r>
            <w:r>
              <w:rPr>
                <w:rFonts w:hint="eastAsia" w:ascii="仿宋_GB2312" w:hAnsi="仿宋_GB2312" w:eastAsia="仿宋_GB2312" w:cs="仿宋_GB2312"/>
                <w:b w:val="0"/>
                <w:bCs w:val="0"/>
                <w:color w:val="auto"/>
                <w:spacing w:val="-33"/>
                <w:sz w:val="24"/>
                <w:szCs w:val="24"/>
              </w:rPr>
              <w:t xml:space="preserve"> </w:t>
            </w:r>
            <w:r>
              <w:rPr>
                <w:rFonts w:hint="eastAsia" w:ascii="仿宋_GB2312" w:hAnsi="仿宋_GB2312" w:eastAsia="仿宋_GB2312" w:cs="仿宋_GB2312"/>
                <w:b w:val="0"/>
                <w:bCs w:val="0"/>
                <w:color w:val="auto"/>
                <w:spacing w:val="-3"/>
                <w:sz w:val="24"/>
                <w:szCs w:val="24"/>
                <w:lang w:val="en-US" w:eastAsia="zh-CN"/>
              </w:rPr>
              <w:t>3</w:t>
            </w:r>
            <w:r>
              <w:rPr>
                <w:rFonts w:hint="eastAsia" w:ascii="仿宋_GB2312" w:hAnsi="仿宋_GB2312" w:eastAsia="仿宋_GB2312" w:cs="仿宋_GB2312"/>
                <w:b w:val="0"/>
                <w:bCs w:val="0"/>
                <w:color w:val="auto"/>
                <w:spacing w:val="-49"/>
                <w:sz w:val="24"/>
                <w:szCs w:val="24"/>
              </w:rPr>
              <w:t xml:space="preserve"> </w:t>
            </w:r>
            <w:r>
              <w:rPr>
                <w:rFonts w:hint="eastAsia" w:ascii="仿宋_GB2312" w:hAnsi="仿宋_GB2312" w:eastAsia="仿宋_GB2312" w:cs="仿宋_GB2312"/>
                <w:b w:val="0"/>
                <w:bCs w:val="0"/>
                <w:color w:val="auto"/>
                <w:spacing w:val="-3"/>
                <w:sz w:val="24"/>
                <w:szCs w:val="24"/>
              </w:rPr>
              <w:t>分。</w:t>
            </w:r>
          </w:p>
        </w:tc>
        <w:tc>
          <w:tcPr>
            <w:tcW w:w="1249" w:type="dxa"/>
            <w:tcBorders>
              <w:left w:val="single" w:color="auto" w:sz="4" w:space="0"/>
            </w:tcBorders>
            <w:vAlign w:val="center"/>
          </w:tcPr>
          <w:p w14:paraId="30C94707">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p>
          <w:p w14:paraId="4FB99A10">
            <w:pPr>
              <w:pStyle w:val="11"/>
              <w:keepNext w:val="0"/>
              <w:keepLines w:val="0"/>
              <w:pageBreakBefore w:val="0"/>
              <w:widowControl/>
              <w:kinsoku w:val="0"/>
              <w:wordWrap/>
              <w:overflowPunct/>
              <w:topLinePunct w:val="0"/>
              <w:autoSpaceDE w:val="0"/>
              <w:autoSpaceDN w:val="0"/>
              <w:bidi w:val="0"/>
              <w:adjustRightInd w:val="0"/>
              <w:snapToGrid w:val="0"/>
              <w:spacing w:line="217" w:lineRule="auto"/>
              <w:ind w:left="154"/>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7"/>
                <w:sz w:val="24"/>
                <w:szCs w:val="24"/>
              </w:rPr>
              <w:t>得</w:t>
            </w:r>
            <w:r>
              <w:rPr>
                <w:rFonts w:hint="eastAsia" w:ascii="仿宋_GB2312" w:hAnsi="仿宋_GB2312" w:eastAsia="仿宋_GB2312" w:cs="仿宋_GB2312"/>
                <w:b w:val="0"/>
                <w:bCs w:val="0"/>
                <w:color w:val="auto"/>
                <w:spacing w:val="39"/>
                <w:sz w:val="24"/>
                <w:szCs w:val="24"/>
                <w:u w:val="single" w:color="auto"/>
              </w:rPr>
              <w:t xml:space="preserve">   </w:t>
            </w:r>
            <w:r>
              <w:rPr>
                <w:rFonts w:hint="eastAsia" w:ascii="仿宋_GB2312" w:hAnsi="仿宋_GB2312" w:eastAsia="仿宋_GB2312" w:cs="仿宋_GB2312"/>
                <w:b w:val="0"/>
                <w:bCs w:val="0"/>
                <w:color w:val="auto"/>
                <w:spacing w:val="-106"/>
                <w:sz w:val="24"/>
                <w:szCs w:val="24"/>
              </w:rPr>
              <w:t xml:space="preserve"> </w:t>
            </w:r>
            <w:r>
              <w:rPr>
                <w:rFonts w:hint="eastAsia" w:ascii="仿宋_GB2312" w:hAnsi="仿宋_GB2312" w:eastAsia="仿宋_GB2312" w:cs="仿宋_GB2312"/>
                <w:b w:val="0"/>
                <w:bCs w:val="0"/>
                <w:color w:val="auto"/>
                <w:spacing w:val="-7"/>
                <w:sz w:val="24"/>
                <w:szCs w:val="24"/>
              </w:rPr>
              <w:t>分</w:t>
            </w:r>
          </w:p>
        </w:tc>
      </w:tr>
      <w:tr w14:paraId="1E946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4" w:hRule="atLeast"/>
        </w:trPr>
        <w:tc>
          <w:tcPr>
            <w:tcW w:w="14629" w:type="dxa"/>
            <w:gridSpan w:val="5"/>
            <w:tcBorders>
              <w:top w:val="single" w:color="auto" w:sz="4" w:space="0"/>
              <w:left w:val="single" w:color="auto" w:sz="4" w:space="0"/>
              <w:bottom w:val="single" w:color="auto" w:sz="4" w:space="0"/>
            </w:tcBorders>
            <w:vAlign w:val="center"/>
          </w:tcPr>
          <w:p w14:paraId="664D1004">
            <w:pPr>
              <w:pStyle w:val="11"/>
              <w:keepNext w:val="0"/>
              <w:keepLines w:val="0"/>
              <w:pageBreakBefore w:val="0"/>
              <w:widowControl/>
              <w:kinsoku w:val="0"/>
              <w:wordWrap/>
              <w:overflowPunct/>
              <w:topLinePunct w:val="0"/>
              <w:autoSpaceDE w:val="0"/>
              <w:autoSpaceDN w:val="0"/>
              <w:bidi w:val="0"/>
              <w:adjustRightInd w:val="0"/>
              <w:snapToGrid w:val="0"/>
              <w:spacing w:line="296" w:lineRule="auto"/>
              <w:ind w:right="3525"/>
              <w:textAlignment w:val="baseline"/>
              <w:rPr>
                <w:rFonts w:hint="eastAsia" w:ascii="仿宋_GB2312" w:hAnsi="仿宋_GB2312" w:eastAsia="仿宋_GB2312" w:cs="仿宋_GB2312"/>
                <w:b w:val="0"/>
                <w:bCs w:val="0"/>
                <w:color w:val="auto"/>
                <w:spacing w:val="-4"/>
                <w:sz w:val="24"/>
                <w:szCs w:val="24"/>
              </w:rPr>
            </w:pPr>
            <w:r>
              <w:rPr>
                <w:rFonts w:hint="eastAsia" w:ascii="仿宋_GB2312" w:hAnsi="仿宋_GB2312" w:eastAsia="仿宋_GB2312" w:cs="仿宋_GB2312"/>
                <w:b w:val="0"/>
                <w:bCs w:val="0"/>
                <w:color w:val="auto"/>
                <w:spacing w:val="-3"/>
                <w:sz w:val="24"/>
                <w:szCs w:val="24"/>
              </w:rPr>
              <w:t>评估结果：基本条件 符合□  不符合□</w:t>
            </w:r>
            <w:r>
              <w:rPr>
                <w:rFonts w:hint="eastAsia" w:ascii="仿宋_GB2312" w:hAnsi="仿宋_GB2312" w:eastAsia="仿宋_GB2312" w:cs="仿宋_GB2312"/>
                <w:b w:val="0"/>
                <w:bCs w:val="0"/>
                <w:color w:val="auto"/>
                <w:spacing w:val="-87"/>
                <w:sz w:val="24"/>
                <w:szCs w:val="24"/>
                <w:lang w:eastAsia="zh-CN"/>
              </w:rPr>
              <w:t>，</w:t>
            </w:r>
            <w:r>
              <w:rPr>
                <w:rFonts w:hint="eastAsia" w:ascii="仿宋_GB2312" w:hAnsi="仿宋_GB2312" w:eastAsia="仿宋_GB2312" w:cs="仿宋_GB2312"/>
                <w:b w:val="0"/>
                <w:bCs w:val="0"/>
                <w:color w:val="auto"/>
                <w:spacing w:val="74"/>
                <w:sz w:val="24"/>
                <w:szCs w:val="24"/>
              </w:rPr>
              <w:t xml:space="preserve"> </w:t>
            </w:r>
            <w:r>
              <w:rPr>
                <w:rFonts w:hint="eastAsia" w:ascii="仿宋_GB2312" w:hAnsi="仿宋_GB2312" w:eastAsia="仿宋_GB2312" w:cs="仿宋_GB2312"/>
                <w:b w:val="0"/>
                <w:bCs w:val="0"/>
                <w:color w:val="auto"/>
                <w:spacing w:val="-3"/>
                <w:sz w:val="24"/>
                <w:szCs w:val="24"/>
              </w:rPr>
              <w:t>综合指标共得</w:t>
            </w:r>
            <w:r>
              <w:rPr>
                <w:rFonts w:hint="eastAsia" w:ascii="仿宋_GB2312" w:hAnsi="仿宋_GB2312" w:eastAsia="仿宋_GB2312" w:cs="仿宋_GB2312"/>
                <w:b w:val="0"/>
                <w:bCs w:val="0"/>
                <w:color w:val="auto"/>
                <w:spacing w:val="-3"/>
                <w:sz w:val="24"/>
                <w:szCs w:val="24"/>
                <w:u w:val="single" w:color="auto"/>
              </w:rPr>
              <w:t xml:space="preserve">  </w:t>
            </w:r>
            <w:r>
              <w:rPr>
                <w:rFonts w:hint="eastAsia" w:ascii="仿宋_GB2312" w:hAnsi="仿宋_GB2312" w:eastAsia="仿宋_GB2312" w:cs="仿宋_GB2312"/>
                <w:b w:val="0"/>
                <w:bCs w:val="0"/>
                <w:color w:val="auto"/>
                <w:spacing w:val="-4"/>
                <w:sz w:val="24"/>
                <w:szCs w:val="24"/>
                <w:u w:val="single" w:color="auto"/>
              </w:rPr>
              <w:t xml:space="preserve">   </w:t>
            </w:r>
            <w:r>
              <w:rPr>
                <w:rFonts w:hint="eastAsia" w:ascii="仿宋_GB2312" w:hAnsi="仿宋_GB2312" w:eastAsia="仿宋_GB2312" w:cs="仿宋_GB2312"/>
                <w:b w:val="0"/>
                <w:bCs w:val="0"/>
                <w:color w:val="auto"/>
                <w:spacing w:val="-108"/>
                <w:sz w:val="24"/>
                <w:szCs w:val="24"/>
              </w:rPr>
              <w:t xml:space="preserve"> </w:t>
            </w:r>
            <w:r>
              <w:rPr>
                <w:rFonts w:hint="eastAsia" w:ascii="仿宋_GB2312" w:hAnsi="仿宋_GB2312" w:eastAsia="仿宋_GB2312" w:cs="仿宋_GB2312"/>
                <w:b w:val="0"/>
                <w:bCs w:val="0"/>
                <w:color w:val="auto"/>
                <w:spacing w:val="-4"/>
                <w:sz w:val="24"/>
                <w:szCs w:val="24"/>
              </w:rPr>
              <w:t>分。</w:t>
            </w:r>
          </w:p>
          <w:p w14:paraId="6D891761">
            <w:pPr>
              <w:pStyle w:val="11"/>
              <w:keepNext w:val="0"/>
              <w:keepLines w:val="0"/>
              <w:pageBreakBefore w:val="0"/>
              <w:widowControl/>
              <w:kinsoku w:val="0"/>
              <w:wordWrap/>
              <w:overflowPunct/>
              <w:topLinePunct w:val="0"/>
              <w:autoSpaceDE w:val="0"/>
              <w:autoSpaceDN w:val="0"/>
              <w:bidi w:val="0"/>
              <w:adjustRightInd w:val="0"/>
              <w:snapToGrid w:val="0"/>
              <w:spacing w:line="217" w:lineRule="auto"/>
              <w:textAlignment w:val="baseline"/>
              <w:rPr>
                <w:rFonts w:hint="eastAsia" w:ascii="仿宋_GB2312" w:hAnsi="仿宋_GB2312" w:eastAsia="仿宋_GB2312" w:cs="仿宋_GB2312"/>
                <w:b w:val="0"/>
                <w:bCs w:val="0"/>
                <w:color w:val="auto"/>
                <w:spacing w:val="-7"/>
                <w:sz w:val="24"/>
                <w:szCs w:val="24"/>
              </w:rPr>
            </w:pPr>
            <w:r>
              <w:rPr>
                <w:rFonts w:hint="eastAsia" w:ascii="仿宋_GB2312" w:hAnsi="仿宋_GB2312" w:eastAsia="仿宋_GB2312" w:cs="仿宋_GB2312"/>
                <w:b w:val="0"/>
                <w:bCs w:val="0"/>
                <w:color w:val="auto"/>
                <w:spacing w:val="-2"/>
                <w:sz w:val="24"/>
                <w:szCs w:val="24"/>
              </w:rPr>
              <w:t>说明：基本条件评定设置符合或不符合事项，任一项不符合即为不合格。</w:t>
            </w:r>
          </w:p>
        </w:tc>
      </w:tr>
    </w:tbl>
    <w:p w14:paraId="6B05E516">
      <w:pPr>
        <w:rPr>
          <w:rFonts w:ascii="Arial"/>
          <w:sz w:val="21"/>
        </w:rPr>
      </w:pPr>
    </w:p>
    <w:p w14:paraId="C721C8D6">
      <w:pPr>
        <w:rPr>
          <w:rFonts w:ascii="Arial"/>
          <w:sz w:val="21"/>
        </w:rPr>
      </w:pPr>
    </w:p>
    <w:p w14:paraId="6083A6D6">
      <w:pPr>
        <w:bidi w:val="0"/>
        <w:rPr>
          <w:rFonts w:ascii="Arial" w:hAnsi="Arial" w:eastAsia="Arial" w:cs="Arial"/>
          <w:snapToGrid w:val="0"/>
          <w:color w:val="000000"/>
          <w:kern w:val="0"/>
          <w:sz w:val="21"/>
          <w:szCs w:val="21"/>
          <w:lang w:val="en-US" w:eastAsia="en-US" w:bidi="ar-SA"/>
        </w:rPr>
      </w:pPr>
    </w:p>
    <w:p w14:paraId="1F0CF6AB">
      <w:pPr>
        <w:bidi w:val="0"/>
        <w:rPr>
          <w:lang w:val="en-US" w:eastAsia="en-US"/>
        </w:rPr>
      </w:pPr>
    </w:p>
    <w:p w14:paraId="7C0D7AAB">
      <w:pPr>
        <w:bidi w:val="0"/>
        <w:rPr>
          <w:lang w:val="en-US" w:eastAsia="en-US"/>
        </w:rPr>
      </w:pPr>
    </w:p>
    <w:p w14:paraId="1C18D284">
      <w:pPr>
        <w:bidi w:val="0"/>
        <w:rPr>
          <w:lang w:val="en-US" w:eastAsia="en-US"/>
        </w:rPr>
      </w:pPr>
    </w:p>
    <w:p w14:paraId="62EAACA6">
      <w:pPr>
        <w:bidi w:val="0"/>
        <w:rPr>
          <w:rFonts w:hint="eastAsia"/>
          <w:lang w:val="en-US" w:eastAsia="zh-CN"/>
        </w:rPr>
      </w:pPr>
    </w:p>
    <w:sectPr>
      <w:headerReference r:id="rId7" w:type="default"/>
      <w:footerReference r:id="rId8" w:type="default"/>
      <w:pgSz w:w="16839" w:h="11906"/>
      <w:pgMar w:top="1083" w:right="1159" w:bottom="1417" w:left="1044" w:header="1361" w:footer="907"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
    <w:altName w:val="方正仿宋_GBK"/>
    <w:panose1 w:val="02010609060001010101"/>
    <w:charset w:val="86"/>
    <w:family w:val="auto"/>
    <w:pitch w:val="default"/>
    <w:sig w:usb0="00000000" w:usb1="00000000"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国标仿宋">
    <w:panose1 w:val="02000500000000000000"/>
    <w:charset w:val="86"/>
    <w:family w:val="auto"/>
    <w:pitch w:val="default"/>
    <w:sig w:usb0="A00002BF" w:usb1="38C77CFA" w:usb2="00000016" w:usb3="00000000" w:csb0="00040000" w:csb1="00000000"/>
  </w:font>
  <w:font w:name="国标黑体">
    <w:panose1 w:val="020005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C347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A402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BA402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991B4">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E647F9">
                          <w:pPr>
                            <w:pStyle w:val="6"/>
                          </w:pPr>
                          <w:r>
                            <w:rPr>
                              <w:rFonts w:hint="eastAsia" w:ascii="国标仿宋" w:hAnsi="国标仿宋" w:eastAsia="国标仿宋" w:cs="国标仿宋"/>
                              <w:sz w:val="28"/>
                              <w:szCs w:val="28"/>
                            </w:rPr>
                            <w:fldChar w:fldCharType="begin"/>
                          </w:r>
                          <w:r>
                            <w:rPr>
                              <w:rFonts w:hint="eastAsia" w:ascii="国标仿宋" w:hAnsi="国标仿宋" w:eastAsia="国标仿宋" w:cs="国标仿宋"/>
                              <w:sz w:val="28"/>
                              <w:szCs w:val="28"/>
                            </w:rPr>
                            <w:instrText xml:space="preserve"> PAGE  \* MERGEFORMAT </w:instrText>
                          </w:r>
                          <w:r>
                            <w:rPr>
                              <w:rFonts w:hint="eastAsia" w:ascii="国标仿宋" w:hAnsi="国标仿宋" w:eastAsia="国标仿宋" w:cs="国标仿宋"/>
                              <w:sz w:val="28"/>
                              <w:szCs w:val="28"/>
                            </w:rPr>
                            <w:fldChar w:fldCharType="separate"/>
                          </w:r>
                          <w:r>
                            <w:rPr>
                              <w:rFonts w:hint="eastAsia" w:ascii="国标仿宋" w:hAnsi="国标仿宋" w:eastAsia="国标仿宋" w:cs="国标仿宋"/>
                              <w:sz w:val="28"/>
                              <w:szCs w:val="28"/>
                            </w:rPr>
                            <w:t>- 2 -</w:t>
                          </w:r>
                          <w:r>
                            <w:rPr>
                              <w:rFonts w:hint="eastAsia" w:ascii="国标仿宋" w:hAnsi="国标仿宋" w:eastAsia="国标仿宋" w:cs="国标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2E647F9">
                    <w:pPr>
                      <w:pStyle w:val="6"/>
                    </w:pPr>
                    <w:r>
                      <w:rPr>
                        <w:rFonts w:hint="eastAsia" w:ascii="国标仿宋" w:hAnsi="国标仿宋" w:eastAsia="国标仿宋" w:cs="国标仿宋"/>
                        <w:sz w:val="28"/>
                        <w:szCs w:val="28"/>
                      </w:rPr>
                      <w:fldChar w:fldCharType="begin"/>
                    </w:r>
                    <w:r>
                      <w:rPr>
                        <w:rFonts w:hint="eastAsia" w:ascii="国标仿宋" w:hAnsi="国标仿宋" w:eastAsia="国标仿宋" w:cs="国标仿宋"/>
                        <w:sz w:val="28"/>
                        <w:szCs w:val="28"/>
                      </w:rPr>
                      <w:instrText xml:space="preserve"> PAGE  \* MERGEFORMAT </w:instrText>
                    </w:r>
                    <w:r>
                      <w:rPr>
                        <w:rFonts w:hint="eastAsia" w:ascii="国标仿宋" w:hAnsi="国标仿宋" w:eastAsia="国标仿宋" w:cs="国标仿宋"/>
                        <w:sz w:val="28"/>
                        <w:szCs w:val="28"/>
                      </w:rPr>
                      <w:fldChar w:fldCharType="separate"/>
                    </w:r>
                    <w:r>
                      <w:rPr>
                        <w:rFonts w:hint="eastAsia" w:ascii="国标仿宋" w:hAnsi="国标仿宋" w:eastAsia="国标仿宋" w:cs="国标仿宋"/>
                        <w:sz w:val="28"/>
                        <w:szCs w:val="28"/>
                      </w:rPr>
                      <w:t>- 2 -</w:t>
                    </w:r>
                    <w:r>
                      <w:rPr>
                        <w:rFonts w:hint="eastAsia" w:ascii="国标仿宋" w:hAnsi="国标仿宋" w:eastAsia="国标仿宋" w:cs="国标仿宋"/>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4000">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1573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FF28D09"/>
    <w:rsid w:val="0FF776AA"/>
    <w:rsid w:val="37EDB2DC"/>
    <w:rsid w:val="37F63247"/>
    <w:rsid w:val="3B7B3E46"/>
    <w:rsid w:val="3E69BD42"/>
    <w:rsid w:val="3FFDA098"/>
    <w:rsid w:val="485F677F"/>
    <w:rsid w:val="4E7D04B0"/>
    <w:rsid w:val="57F75CC3"/>
    <w:rsid w:val="5AFF6552"/>
    <w:rsid w:val="6AF4A3E6"/>
    <w:rsid w:val="6B7B3E0D"/>
    <w:rsid w:val="77A8C984"/>
    <w:rsid w:val="77FF0575"/>
    <w:rsid w:val="7BF708D1"/>
    <w:rsid w:val="7C7FCEA4"/>
    <w:rsid w:val="7CAB1ADB"/>
    <w:rsid w:val="7FF93994"/>
    <w:rsid w:val="7FFF4231"/>
    <w:rsid w:val="9BEC8C06"/>
    <w:rsid w:val="AF779015"/>
    <w:rsid w:val="D7AFEDD3"/>
    <w:rsid w:val="DFFF04DA"/>
    <w:rsid w:val="E5FFFFC7"/>
    <w:rsid w:val="EB7FF10B"/>
    <w:rsid w:val="EF6F375B"/>
    <w:rsid w:val="EFBBB68D"/>
    <w:rsid w:val="F7FF7123"/>
    <w:rsid w:val="FDEDE9E7"/>
    <w:rsid w:val="FF7715EC"/>
    <w:rsid w:val="FFA7D75D"/>
    <w:rsid w:val="FFAEB0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200" w:after="200"/>
      <w:ind w:firstLine="200"/>
      <w:jc w:val="center"/>
      <w:outlineLvl w:val="0"/>
    </w:pPr>
    <w:rPr>
      <w:rFonts w:eastAsia="华文中宋"/>
      <w:b/>
      <w:bCs/>
      <w:kern w:val="44"/>
      <w:sz w:val="36"/>
      <w:szCs w:val="44"/>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color w:val="000000"/>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next w:val="3"/>
    <w:qFormat/>
    <w:uiPriority w:val="0"/>
    <w:pPr>
      <w:ind w:firstLine="632" w:firstLineChars="200"/>
    </w:pPr>
    <w:rPr>
      <w:rFonts w:ascii="仿宋" w:hAnsi="仿宋" w:eastAsia="仿宋" w:cs="Times New Roman"/>
      <w:sz w:val="32"/>
      <w:szCs w:val="22"/>
    </w:rPr>
  </w:style>
  <w:style w:type="paragraph" w:styleId="5">
    <w:name w:val="Body Text"/>
    <w:basedOn w:val="1"/>
    <w:qFormat/>
    <w:uiPriority w:val="0"/>
    <w:rPr>
      <w:rFonts w:ascii="FangSong" w:hAnsi="FangSong" w:eastAsia="FangSong" w:cs="FangSong"/>
      <w:sz w:val="31"/>
      <w:szCs w:val="3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qFormat/>
    <w:uiPriority w:val="0"/>
    <w:tblPr>
      <w:tblCellMar>
        <w:top w:w="0" w:type="dxa"/>
        <w:left w:w="0" w:type="dxa"/>
        <w:bottom w:w="0" w:type="dxa"/>
        <w:right w:w="0" w:type="dxa"/>
      </w:tblCellMar>
    </w:tblPr>
  </w:style>
  <w:style w:type="paragraph" w:customStyle="1" w:styleId="11">
    <w:name w:val="Table Text"/>
    <w:basedOn w:val="1"/>
    <w:qFormat/>
    <w:uiPriority w:val="0"/>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4455</Words>
  <Characters>4539</Characters>
  <Paragraphs>413</Paragraphs>
  <TotalTime>44</TotalTime>
  <ScaleCrop>false</ScaleCrop>
  <LinksUpToDate>false</LinksUpToDate>
  <CharactersWithSpaces>4851</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2026-08-02T17:09:00Z</dcterms:created>
  <dc:creator>win</dc:creator>
  <cp:lastModifiedBy>Admin</cp:lastModifiedBy>
  <cp:lastPrinted>2026-09-09T23:09:00Z</cp:lastPrinted>
  <dcterms:modified xsi:type="dcterms:W3CDTF">2026-09-23T16:50:03Z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ICV">
    <vt:lpwstr>EA9735F5F82DB13A0305A26A4D1A01A2_43</vt:lpwstr>
  </property>
  <property fmtid="{D5CDD505-2E9C-101B-9397-08002B2CF9AE}" pid="4" name="KSOProductBuildVer">
    <vt:lpwstr>2052-12.8.2.1119</vt:lpwstr>
  </property>
</Properties>
</file>